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D2" w:rsidRPr="000A5027" w:rsidRDefault="005C04D2" w:rsidP="005C04D2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zał. nr 2 do zapytania ofertowego </w:t>
      </w:r>
    </w:p>
    <w:p w:rsidR="005C04D2" w:rsidRPr="000A5027" w:rsidRDefault="005C04D2" w:rsidP="005C04D2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C04D2" w:rsidRPr="000A5027" w:rsidRDefault="005C04D2" w:rsidP="005C04D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SZCZEGÓŁOWY OPIS PRZEDMIOTU ZAMÓWINIA</w:t>
      </w:r>
    </w:p>
    <w:p w:rsidR="007A3F24" w:rsidRPr="000A5027" w:rsidRDefault="007A3F24" w:rsidP="007A3F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3F24" w:rsidRPr="000A5027" w:rsidRDefault="007A3F24" w:rsidP="007A3F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Zad 1</w:t>
      </w:r>
    </w:p>
    <w:p w:rsidR="00381CD6" w:rsidRPr="000A5027" w:rsidRDefault="007A3F24" w:rsidP="00381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Przedmiotem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zamówienia jest zakup w ramach licencji akademickiej Site License dla wszystkich pracowników i studentów Politechniki Rzeszowskiej zestawu programów Statistica Rozszerzony Pakiet Akademicki + Zestaw do Analiz Marketingowych i Rynkowych.</w:t>
      </w:r>
    </w:p>
    <w:p w:rsidR="00381CD6" w:rsidRPr="000A5027" w:rsidRDefault="007A3F24" w:rsidP="00381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Zamówienie zakłada przedłużenie posiadanej przez PRz licencji na programy Statistica Rozszerzony Pakiet Akademicki + Zestaw do Analiz Marketingowych i Rynkowych na kolejny okres: 3 lata tj. od 01 września 2019 r.</w:t>
      </w:r>
      <w:r w:rsidR="00381CD6"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do 31 sierpnia 2022 r.</w:t>
      </w:r>
    </w:p>
    <w:p w:rsidR="00381CD6" w:rsidRPr="000A5027" w:rsidRDefault="007A3F24" w:rsidP="00381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381CD6"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przeprowadzić w siedzibie PRz standardowe 4-godzinne szkolenie dla pracowników i studentów uczelni, które pozwoli im efektywnie wykorzystać narzędzia analizy danych Statistica w badaniach naukowych i dydaktyce.</w:t>
      </w:r>
    </w:p>
    <w:p w:rsidR="00381CD6" w:rsidRPr="000A5027" w:rsidRDefault="007A3F24" w:rsidP="00381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Szkolenie powinno mieć formę prezentacji, w której będzie mogła uczestniczyć dowolna liczba uczestników (do 200 osób). PRz zapewni salę na realizację szkolenia.</w:t>
      </w:r>
    </w:p>
    <w:p w:rsidR="00381CD6" w:rsidRPr="000A5027" w:rsidRDefault="007A3F24" w:rsidP="00381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Płatność za zakupiony pakiet: jednorazowa.</w:t>
      </w:r>
    </w:p>
    <w:p w:rsidR="00381CD6" w:rsidRPr="000A5027" w:rsidRDefault="007A3F24" w:rsidP="00381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Funkcjonalność i cechy użytkowe oprogramowania z rodziny Statistica</w:t>
      </w:r>
      <w:r w:rsidR="00381CD6"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Statistica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Rozszerzony Pakiet Akademicki</w:t>
      </w:r>
    </w:p>
    <w:p w:rsidR="00B008AA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Podstawowe statystyki i wykresy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Statystyki podstawowe i tabele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Możliwość wykonywania analiz w grupach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Korelacje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Kalkulator prawdopodobieństwa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Dopasowanie rozkładów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Regresja wieloraka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wariancji (ANOVA)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Statystyki nieparametryczne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Statistica Query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Statistica Visual Basic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Komplet narzędzi graficznych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Statistica (wykresy: histogramy, wykresy rozrzutu, wykres workowy, wykresy średnia i błędy, wykresy ramka-wąsy, wykres składowych zmienności, wykresy zakresu, wykres rozrzutu z błędem, obrazkowe wykresy rozrzutu, wykresy rozrzutu z rysunkami, wykresy rozrzutu z histogramami, wykresy normalności, wykresy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kwantyl-kwantyl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, wykresy prawdopodobieństwo-prawdopodobieństwo, wykresy słupkowe /kolumnowe, wykresy liniowe, wykresy sekwencyjne/ nakładane, wykresy kołowe, wykresy brakujących danych i spoza zakresu, histogramy dwóch zmiennych, wykresy powierzchniowe, wykresy warstwicowe, wykresy waflowe, wykresy trójkątne, skategoryzowane wykresy XYZ, skategoryzowane wykresy trójkątne, wykresy macierzowe, wykresy obrazkowe, wykresy XYZ 3W, wykresy trójkątne 3W).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Zaawansowane metody statystyczne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Rozkłady i symulacje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Ogólne modele liniowe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Uogólnione modele liniowe i nieliniowe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Ogólne modele regresji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Modele cząstkowych najmniejszych kwadratów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Komponenty wariancyjne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przeżycia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Estymacja nieliniowa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Linearyzowana regresja nieliniowa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log-liniowa tabel liczności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Szeregi czasowe i prognozowanie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Modelowanie równań strukturalnych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skupień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czynnikowa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Składowe główne i klasyfikacja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Algorytm NIPALS dla analizy składowych głównych i metody cząstkowych najmniejszych kwadratów</w:t>
      </w:r>
    </w:p>
    <w:p w:rsidR="00B008AA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Analiza kanoniczna</w:t>
      </w:r>
    </w:p>
    <w:p w:rsidR="00B008AA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Analiza rzetelności i pozycji</w:t>
      </w:r>
    </w:p>
    <w:p w:rsidR="00B008AA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Drzewa klasyfikacyjne</w:t>
      </w:r>
    </w:p>
    <w:p w:rsidR="00B008AA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Analiza korespondencji</w:t>
      </w:r>
    </w:p>
    <w:p w:rsidR="000A5027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Skalowanie wielowymiarowe- Analiza dyskryminacyjna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Ogólne modele analizy dyskryminacyjnej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Mocy Testów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Data Miner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Sieci neuronowe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Dobór i eliminacja zmiennych (dla dużych zbiorów danych)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koszykowa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Interakcyjne drążenie danych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skupień uogólnioną metodą EM i k-średnich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Uogólnione modele addytywne (GAM)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Ogólne modele drzew klasyfikacyjnych i regresyjnych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GTrees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Ogólne modele CHAID (Chi-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square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Automatic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Interaction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Detection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Interakcyjne drzewa klasyfikacyjna i regresyjne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Wzmacniane drzewa klasyfikacyjne i regresyjne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Boosted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Rrees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Multivariate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Adaptive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Regression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Splines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(MAR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Splines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Obliczanie dobroci dopasowania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Szybkie wdrażanie modeli predykcyjnych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Naiwny klasyfikator Bayesa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Support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Vector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Machines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Metoda k-najbliższych sąsiadów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Łączenie grup (klas) z wykorzystaniem algorytmu CHAID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ICA (Independent Component Analysis)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Losowy las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Random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Forests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QC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Quality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 – sterowanie jakością)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Standardowe karty kontrolne: karta X średniego i R, karta X średniego i S, karta pojedynczych obserwacji i ruchomego rozstępu (I/MR), karta sum skumulowanych (CUSUM), karta średniej ruchomej (MA), karta wykładniczo ważonej średniej ruchomej (EWMA), karty dla pomiarów alternatywnych (C, U, Np, P), karta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Pareto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, karty wielowymiarowe, karty wielotorowe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Interaktywne zaznaczanie i etykietowanie punktów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Przypisywanie przyczyn i działań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Elastyczny, dostosowywalny system alarmowania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Praca inżyniera i operatora; zabezpieczanie hasłem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Karty krótkich serii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Karty wieloźródłowe (zgrupowane i zgrupowane krótkich serii)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Wskaźniki zdolności, wykonania i linie kontrolne dla rozkładów innych niż normalny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Karty kontrolne w czasie rzeczywistym; zewnętrzne źródła danych</w:t>
      </w:r>
    </w:p>
    <w:p w:rsidR="00B008AA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Wielowymiarowe karty kontrolne Kart T^2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Hotellinga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Wielowymiarowe karty kontrolne Wieloźródłowych (zgrupowanych) kart T^2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Hotellinga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Wielowymiarowe karty kontrolne wykładniczo ważonej średniej ruchomej (MEWMA)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Wielowymiarowe karty sum skumulowanych (MCUSUM)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Karta uogólnionej wariancji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Analiza zdolności procesu: wskaźniki zdolności procesów (np.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Cp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Cr,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Cpk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Cpl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Cpu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Cpm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Ppk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Ppl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Ppu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inne),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badania i analiza powtarzalności i odtwarzalności pomiarów (R&amp;R)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Analiza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Weibulla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doświadczenia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Analiza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resztowa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przekształcenia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Optymalizacja pojedynczej lub wielu wielkości wyjściowych: Profil użyteczności odpowiedzi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Standardowe plany frakcyjne dwuwartościowe 2(k-p)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frakcyjne 2(k-p) o najmniejszej aberracji i maksymalnym nieuwikłaniu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eliminacyjne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Placketta-Burmana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Plany frakcyjne trójwartościowe typu 3(k-p) z podziałem na bloki oraz plany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Boxa-Behnkena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centralne kompozycyjne (powierzchnia odpowiedzi)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Plany kwadratów łacińskich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Doświadczenia wg metody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Taguchi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dla mieszanin i powierzchni o podstawie trójkątnej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dla ograniczonych powierzchni i mieszanin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Plany D i A-optymalne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Miner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Funkcjonalność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mining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dokumentów zapisanych w formacie MS Word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Zliczanie wystąpień słów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Różne miary częstości występowania słów : prosta częstość, częstość binarna (ang.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binary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frequency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odwrotna częstość dokumentowa (ang.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inverse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frequency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), częstość logarytmiczna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Możliwość określania własnej stop-listy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Możliwość określania synonimów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Wykonywanie rozkładu według wartości osobliwych (ang.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singular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value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decomposition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dla miar częstości występowania słów w zbiorze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dokumentów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Optimization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podstawowych przyczyn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Optymalizacja wielkości wyjściowych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Ogólna optymalizacja MSPC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Multivariate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Statistical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Process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Control - wielowymiarowe sterowanie jakością procesów)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Wdrażanie modelu MSPC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składowych głównych (PCA)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Cząstkowe najmniejsze kwadraty (PLS)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Wielokierunkowe cząstkowe najmniejsze kwadraty wg partii (BMPLS)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Wielokierunkowa analiza składowych głównych według czasu (TMPCA)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Wielokierunkowe cząstkowe najmniejsze kwadraty wg czasu (TMPLS)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SAL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Sequence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Association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Link Analysis – analiza sekwencji, asocjacji i skojarzeń)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Wykrywanie reguł asocjacji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sekwencji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skojarzeń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VEPAC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Variance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Estimation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Precision – szacowanie wariancji i precyzji)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Wykresy zmienności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Wykresy wielokrotne, pozwalające bezpośrednio porównywać wiele zmiennych zależnych,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Komponenty wariancyjne z przedziałami ufności,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Elastyczne operowanie wieloma zmiennymi zależnymi: jednoczesne analizowanie wielu zmiennych wg tego samego lub różnych planów,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Wykresy komponentów wariancyjnych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Reporting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Tables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(tabele raportujące)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Tabele raportujące umożliwiające badanie dużych zbiorów danych i prezentacji wyników w postaci tabeli.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ETL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Extract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Transform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Load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WoE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Weight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Evidence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waga dowodu)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Narzędzie do zautomatyzowanego przekształcania zmiennych ilościowych i jakościowych na nowe zmienne jakościowe z przypisaniem każdej klasie nowych zmiennych wartości statystyki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WoE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(ang.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Weight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Evidence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Zestaw do Analiz Marketingowych i Rynkowych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Reguły poprawności danych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brakujących danych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Przekodowanie na zmienne sztuczne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Szybkie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rekodowanie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Przekształcenia zmiennych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Zliczanie wystąpień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Porządkowanie zmienne wielokrotnych odpowiedzi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Kalkulator liczebności próby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Ważenie wieńcowe przypadków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Propensity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score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matching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Podział na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podpróby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Podsumowanie skali pozycyjnej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Podsumowanie skali rangowej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 dyferencjału semantycznego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Wykres dla skali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Stapela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Rzetelność skali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Metoda ocen porównawczych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Thurstone'a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Współczynniki zgodności sędziów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Testy dla pojedynczej zmiennej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Badanie istotności różnic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Krzywe ROC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Analiza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conjoint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aglomeracji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PROFIT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Uogólniona metoda składowych głównych (PCA)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Porządkowanie liniowe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Bootstrap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Miary powiązania/efektów dla tabel 2x2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Analiza koncentracji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Standaryzowane miary efektu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CATANOVA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Indeks KMO oraz Test sferyczności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Bartletta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Konfiguracyjna analiza częstości (CFA)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 słupkowy (kolorowe słupki)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 sekwencyjny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 radarowy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 mozaikowy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Wykres kołowy (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SPie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plot)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Diagram sieci neuronowej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Piramida populacyjna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Zapisz do pliku Excel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Zapisz pliki graficzne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Formatuj arkusz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Cechy licencji: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możliwość instalowania i korzystania z oprogramowania do celów edukacyjnych i naukowobadawczych przez wszystkich pracowników i studentów PRz na dowolnej liczbie stanowisk komputerowych (dowolna liczba instalacji na stanowiska indywidualne oraz jedna instalacja sieciowa dla laboratoriów komputerowych);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możliwość instalacji oraz korzystania z oprogramowania na domowych komputerach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pracowników oraz studentów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Prz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polskojęzyczne środowisko pracy w programie;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uaktualnienia do nowych wersji w czasie obowiązywania umowy (bez dodatkowych opłat);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prawo do pomocy technicznej bez wnoszenia dodatkowych opłat (pomoc techniczna świadczona za pośrednictwem poczty elektronicznej i telefonicznie w godzinach pracy biura.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Dostęp do danych zewnętrznych i środowisko pracy z programem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Dane mogą być składowane w arkuszu danych umożliwiającym interakcyjne wprowadzanie i przekształcanie danych (sortowanie, transformacje zmiennych, ułóż w stertę/rozrzuć po zmiennych) oraz import i eksport danych (m.in. z plików Excel i plików tekstowych).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Oprogramowanie ma możliwość łączenia z bazami danych przez OLE DB.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Wczytywanie i zapis danych w formacie Excel (w wersji 2003 .xls, 2007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2010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2013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2016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tekstowym,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html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Wczytywanie i zapis plików danych w formatach: Statistica, SPSS, SAS, JMP,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Minitab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Oprogramowanie powinno zawierać wbudowany, zgodny ze standardami język programowania Visual Basic, który umożliwia dostęp programowy do funkcji programu, programowanie własnych procedur analitycznych (w tym węzłów analizy wykorzystywanych w przestrzeni roboczej data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mining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) oraz automatyzację prac.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Środowisko użytkownika umożliwiające graficzne definiowanie projektu analitycznego w postaci schematu (grafu), w którym źródła danych, procedury przetwarzania danych i wyniki reprezentowane są przez ikony, a przepływ danych obrazują strzałki.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Możliwość uruchamiania procedur w językach R i </w:t>
      </w:r>
      <w:proofErr w:type="spellStart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Python</w:t>
      </w:r>
      <w:proofErr w:type="spellEnd"/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projektach analitycznych</w:t>
      </w: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zdefiniowanych jako schemat graficzny (graf).</w:t>
      </w:r>
    </w:p>
    <w:p w:rsidR="0089124D" w:rsidRPr="000A5027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Oprogramowanie działające na stanowisku komputerowym pod kontrolą systemu operacyjnego Windows 7/8/10 i ich odpowiednikach serwerowych.</w:t>
      </w:r>
    </w:p>
    <w:p w:rsidR="007A3F24" w:rsidRDefault="007A3F24" w:rsidP="00381CD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5027">
        <w:rPr>
          <w:rFonts w:ascii="Times New Roman" w:hAnsi="Times New Roman" w:cs="Times New Roman"/>
          <w:color w:val="000000" w:themeColor="text1"/>
          <w:sz w:val="24"/>
          <w:szCs w:val="24"/>
        </w:rPr>
        <w:t>- Możliwość instalacji wersji dedykowanej pod 32- lub 64- bitowy system Windows.</w:t>
      </w:r>
    </w:p>
    <w:p w:rsidR="000A5027" w:rsidRPr="002E56FC" w:rsidRDefault="000A5027" w:rsidP="00381CD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A5027" w:rsidRPr="002E56FC" w:rsidRDefault="000A5027" w:rsidP="002E56F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6F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Zad </w:t>
      </w:r>
      <w:r w:rsidR="002E56FC" w:rsidRPr="002E56F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4</w:t>
      </w:r>
    </w:p>
    <w:p w:rsidR="00834D14" w:rsidRDefault="00834D14" w:rsidP="00DD3DAA">
      <w:pPr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bookmarkStart w:id="0" w:name="_GoBack"/>
      <w:bookmarkEnd w:id="0"/>
    </w:p>
    <w:p w:rsidR="00834D14" w:rsidRPr="002B6DA8" w:rsidRDefault="00834D14" w:rsidP="00834D14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b/>
        </w:rPr>
      </w:pPr>
      <w:r w:rsidRPr="002B6DA8">
        <w:rPr>
          <w:b/>
        </w:rPr>
        <w:t xml:space="preserve">INFORMACJE OGÓLNE O </w:t>
      </w:r>
      <w:r>
        <w:rPr>
          <w:b/>
        </w:rPr>
        <w:t>ZESTAWIE</w:t>
      </w:r>
    </w:p>
    <w:p w:rsidR="00834D14" w:rsidRPr="00834D14" w:rsidRDefault="00834D14" w:rsidP="00834D14">
      <w:pPr>
        <w:pStyle w:val="Akapitzlist"/>
        <w:spacing w:before="120" w:after="120"/>
        <w:ind w:left="0"/>
        <w:jc w:val="both"/>
        <w:rPr>
          <w:rFonts w:cs="Times New Roman"/>
          <w:szCs w:val="24"/>
        </w:rPr>
      </w:pPr>
      <w:r w:rsidRPr="002B6DA8">
        <w:t>Przedmiot zamówienia stanowi zestaw</w:t>
      </w:r>
      <w:r>
        <w:t xml:space="preserve"> złożony z: a) biurkowej drukarki termiczno-</w:t>
      </w:r>
      <w:proofErr w:type="spellStart"/>
      <w:r>
        <w:t>termotransferowej</w:t>
      </w:r>
      <w:proofErr w:type="spellEnd"/>
      <w:r>
        <w:t xml:space="preserve"> z wbudowanymi funkcjami RFID (</w:t>
      </w:r>
      <w:r w:rsidRPr="002B6DA8">
        <w:t>RFID – ang. </w:t>
      </w:r>
      <w:r w:rsidRPr="002B6DA8">
        <w:rPr>
          <w:i/>
        </w:rPr>
        <w:t xml:space="preserve">Radio </w:t>
      </w:r>
      <w:proofErr w:type="spellStart"/>
      <w:r w:rsidRPr="002B6DA8">
        <w:rPr>
          <w:i/>
        </w:rPr>
        <w:t>Frequency</w:t>
      </w:r>
      <w:proofErr w:type="spellEnd"/>
      <w:r w:rsidRPr="002B6DA8">
        <w:rPr>
          <w:i/>
        </w:rPr>
        <w:t xml:space="preserve"> </w:t>
      </w:r>
      <w:proofErr w:type="spellStart"/>
      <w:r w:rsidRPr="00834D14">
        <w:rPr>
          <w:rFonts w:cs="Times New Roman"/>
          <w:i/>
          <w:szCs w:val="24"/>
        </w:rPr>
        <w:t>IDentification</w:t>
      </w:r>
      <w:proofErr w:type="spellEnd"/>
      <w:r w:rsidRPr="00834D14">
        <w:rPr>
          <w:rFonts w:cs="Times New Roman"/>
          <w:szCs w:val="24"/>
        </w:rPr>
        <w:t>), b) uruchomieniowych akcesoriów startowych.</w:t>
      </w:r>
    </w:p>
    <w:p w:rsidR="00834D14" w:rsidRPr="00834D14" w:rsidRDefault="00834D14" w:rsidP="00834D14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D14">
        <w:rPr>
          <w:rFonts w:ascii="Times New Roman" w:hAnsi="Times New Roman" w:cs="Times New Roman"/>
          <w:b/>
          <w:sz w:val="24"/>
          <w:szCs w:val="24"/>
        </w:rPr>
        <w:t>Gwarancja: co najmniej 12 miesięcy.</w:t>
      </w:r>
    </w:p>
    <w:p w:rsidR="00834D14" w:rsidRPr="002B6DA8" w:rsidRDefault="00834D14" w:rsidP="00834D14">
      <w:pPr>
        <w:pStyle w:val="Akapitzlist"/>
        <w:numPr>
          <w:ilvl w:val="0"/>
          <w:numId w:val="1"/>
        </w:numPr>
        <w:spacing w:before="120" w:after="120"/>
        <w:ind w:left="510" w:hanging="510"/>
        <w:contextualSpacing w:val="0"/>
        <w:jc w:val="both"/>
        <w:rPr>
          <w:b/>
        </w:rPr>
      </w:pPr>
      <w:r w:rsidRPr="002B6DA8">
        <w:rPr>
          <w:b/>
        </w:rPr>
        <w:t>OPIS CZĘŚCI ZESTAWU</w:t>
      </w:r>
    </w:p>
    <w:p w:rsidR="00834D14" w:rsidRPr="002B6DA8" w:rsidRDefault="00834D14" w:rsidP="00834D14">
      <w:pPr>
        <w:pStyle w:val="Akapitzlist"/>
        <w:numPr>
          <w:ilvl w:val="1"/>
          <w:numId w:val="1"/>
        </w:numPr>
        <w:spacing w:before="120" w:after="120"/>
        <w:ind w:left="510" w:hanging="510"/>
        <w:contextualSpacing w:val="0"/>
        <w:jc w:val="both"/>
        <w:rPr>
          <w:b/>
        </w:rPr>
      </w:pPr>
      <w:r>
        <w:rPr>
          <w:b/>
        </w:rPr>
        <w:t>B</w:t>
      </w:r>
      <w:r w:rsidRPr="004078C2">
        <w:rPr>
          <w:b/>
        </w:rPr>
        <w:t>iurkow</w:t>
      </w:r>
      <w:r>
        <w:rPr>
          <w:b/>
        </w:rPr>
        <w:t>a</w:t>
      </w:r>
      <w:r w:rsidRPr="004078C2">
        <w:rPr>
          <w:b/>
        </w:rPr>
        <w:t xml:space="preserve"> drukark</w:t>
      </w:r>
      <w:r>
        <w:rPr>
          <w:b/>
        </w:rPr>
        <w:t>a</w:t>
      </w:r>
      <w:r w:rsidRPr="004078C2">
        <w:rPr>
          <w:b/>
        </w:rPr>
        <w:t xml:space="preserve"> termiczno-</w:t>
      </w:r>
      <w:proofErr w:type="spellStart"/>
      <w:r w:rsidRPr="004078C2">
        <w:rPr>
          <w:b/>
        </w:rPr>
        <w:t>termotransferow</w:t>
      </w:r>
      <w:r>
        <w:rPr>
          <w:b/>
        </w:rPr>
        <w:t>a</w:t>
      </w:r>
      <w:proofErr w:type="spellEnd"/>
      <w:r w:rsidRPr="004078C2">
        <w:rPr>
          <w:b/>
        </w:rPr>
        <w:t xml:space="preserve"> z wbudowanymi funkcjami RFID</w:t>
      </w:r>
      <w:r w:rsidRPr="002B6DA8">
        <w:rPr>
          <w:b/>
        </w:rPr>
        <w:t xml:space="preserve"> – 1 szt.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 xml:space="preserve">wbudowany rodzaj druku: termiczny, </w:t>
      </w:r>
      <w:proofErr w:type="spellStart"/>
      <w:r>
        <w:t>termotransferowy</w:t>
      </w:r>
      <w:proofErr w:type="spellEnd"/>
      <w:r>
        <w:t>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obsługa funkcji RFID: stan układu czytnika/programatora, kalibracja urządzenia względem znakowanych identyfikatorów RFID, odczyt danych z identyfikatorów RFID, próba RFID, pozycja programu względem identyfikatorów RFID, kontrola mocy RF dla odczytu/zapisu danych w identyfikatorach RFID, licznik ważnych i nieważnych identyfikatorów RFID;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rozdzielczość drukowania: zainstalowana 203 </w:t>
      </w:r>
      <w:proofErr w:type="spellStart"/>
      <w:r>
        <w:t>dpi</w:t>
      </w:r>
      <w:proofErr w:type="spellEnd"/>
      <w:r>
        <w:t>, dostępna opcjonalnie 300 </w:t>
      </w:r>
      <w:proofErr w:type="spellStart"/>
      <w:r>
        <w:t>dpi</w:t>
      </w:r>
      <w:proofErr w:type="spellEnd"/>
      <w:r>
        <w:t>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maksymalna szerokość druku: 104 mm;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maksymalna długość druku: 990 mm;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 xml:space="preserve">maksymalna prędkość druku: 152 mm/s (203 </w:t>
      </w:r>
      <w:proofErr w:type="spellStart"/>
      <w:r>
        <w:t>dpi</w:t>
      </w:r>
      <w:proofErr w:type="spellEnd"/>
      <w:r>
        <w:t xml:space="preserve">), 102 mm/s (300 </w:t>
      </w:r>
      <w:proofErr w:type="spellStart"/>
      <w:r>
        <w:t>dpi</w:t>
      </w:r>
      <w:proofErr w:type="spellEnd"/>
      <w:r>
        <w:t>);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maksymalna długość taśmy drukującej: 74 m;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średnica gilzy: papier – 12,7-76 mm (0,5-3”), taśma – 12,7 mm (0,5”);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lastRenderedPageBreak/>
        <w:t>pamięć: 128 MB RAM, 256 MB Flash ROM;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 xml:space="preserve">interfejs komunikacyjny: </w:t>
      </w:r>
    </w:p>
    <w:p w:rsidR="00834D14" w:rsidRDefault="00834D14" w:rsidP="00834D14">
      <w:pPr>
        <w:pStyle w:val="Akapitzlist"/>
        <w:spacing w:before="120" w:after="120"/>
        <w:jc w:val="both"/>
      </w:pPr>
      <w:r>
        <w:t>wbudowany – RS-232, USB 2.0, równoległy Centronics (LPT), Ethernet;</w:t>
      </w:r>
    </w:p>
    <w:p w:rsidR="00834D14" w:rsidRDefault="00834D14" w:rsidP="00834D14">
      <w:pPr>
        <w:pStyle w:val="Akapitzlist"/>
        <w:spacing w:before="120" w:after="120"/>
        <w:jc w:val="both"/>
      </w:pPr>
      <w:r w:rsidRPr="00C9705F">
        <w:t xml:space="preserve">dostępny opcjonalnie – </w:t>
      </w:r>
      <w:proofErr w:type="spellStart"/>
      <w:r w:rsidRPr="00C9705F">
        <w:t>WiFi</w:t>
      </w:r>
      <w:proofErr w:type="spellEnd"/>
      <w:r w:rsidRPr="00C9705F">
        <w:t xml:space="preserve"> 802.11 a/b/g/n, Bluetooth 3.0;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drukowane kody kreskowe:</w:t>
      </w:r>
      <w:r>
        <w:tab/>
      </w:r>
      <w:r>
        <w:br/>
        <w:t xml:space="preserve">1D: </w:t>
      </w:r>
      <w:proofErr w:type="spellStart"/>
      <w:r>
        <w:t>Code</w:t>
      </w:r>
      <w:proofErr w:type="spellEnd"/>
      <w:r>
        <w:t xml:space="preserve"> 11, </w:t>
      </w:r>
      <w:proofErr w:type="spellStart"/>
      <w:r>
        <w:t>Code</w:t>
      </w:r>
      <w:proofErr w:type="spellEnd"/>
      <w:r>
        <w:t xml:space="preserve"> 39, </w:t>
      </w:r>
      <w:proofErr w:type="spellStart"/>
      <w:r>
        <w:t>Code</w:t>
      </w:r>
      <w:proofErr w:type="spellEnd"/>
      <w:r>
        <w:t xml:space="preserve"> 93, </w:t>
      </w:r>
      <w:proofErr w:type="spellStart"/>
      <w:r>
        <w:t>Code</w:t>
      </w:r>
      <w:proofErr w:type="spellEnd"/>
      <w:r>
        <w:t xml:space="preserve"> 128, UPC-A, UPC-E, EAN-8, EAN-13, EAN-14, UPC-A i UPC-E z EAN 2 lub 5-cyfrowymi , </w:t>
      </w:r>
      <w:proofErr w:type="spellStart"/>
      <w:r>
        <w:t>Plessey</w:t>
      </w:r>
      <w:proofErr w:type="spellEnd"/>
      <w:r>
        <w:t xml:space="preserve">, POSTNET, Standardowy 2 z 5, przemysłowy 2 z 5, </w:t>
      </w:r>
      <w:proofErr w:type="spellStart"/>
      <w:r>
        <w:t>Interleaved</w:t>
      </w:r>
      <w:proofErr w:type="spellEnd"/>
      <w:r>
        <w:t xml:space="preserve"> 2 z 5, LOGMARS, MSI, </w:t>
      </w:r>
      <w:proofErr w:type="spellStart"/>
      <w:r>
        <w:t>Codabar</w:t>
      </w:r>
      <w:proofErr w:type="spellEnd"/>
      <w:r>
        <w:t xml:space="preserve"> i GS1 </w:t>
      </w:r>
      <w:proofErr w:type="spellStart"/>
      <w:r>
        <w:t>DataBar</w:t>
      </w:r>
      <w:proofErr w:type="spellEnd"/>
      <w:r>
        <w:t xml:space="preserve"> (poprzednio RSS);</w:t>
      </w:r>
    </w:p>
    <w:p w:rsidR="00834D14" w:rsidRPr="00FC15AA" w:rsidRDefault="00834D14" w:rsidP="00834D14">
      <w:pPr>
        <w:pStyle w:val="Akapitzlist"/>
        <w:spacing w:before="120" w:after="120"/>
        <w:jc w:val="both"/>
        <w:rPr>
          <w:lang w:val="en-US"/>
        </w:rPr>
      </w:pPr>
      <w:r w:rsidRPr="00FC15AA">
        <w:rPr>
          <w:lang w:val="en-US"/>
        </w:rPr>
        <w:t xml:space="preserve">2D: PDF417, MicroPDF-417, Code 49, </w:t>
      </w:r>
      <w:proofErr w:type="spellStart"/>
      <w:r w:rsidRPr="00FC15AA">
        <w:rPr>
          <w:lang w:val="en-US"/>
        </w:rPr>
        <w:t>Maxicode</w:t>
      </w:r>
      <w:proofErr w:type="spellEnd"/>
      <w:r w:rsidRPr="00FC15AA">
        <w:rPr>
          <w:lang w:val="en-US"/>
        </w:rPr>
        <w:t xml:space="preserve">, </w:t>
      </w:r>
      <w:proofErr w:type="spellStart"/>
      <w:r w:rsidRPr="00FC15AA">
        <w:rPr>
          <w:lang w:val="en-US"/>
        </w:rPr>
        <w:t>Codablock</w:t>
      </w:r>
      <w:proofErr w:type="spellEnd"/>
      <w:r w:rsidRPr="00FC15AA">
        <w:rPr>
          <w:lang w:val="en-US"/>
        </w:rPr>
        <w:t>, Data Matrix, QR Code, Aztec</w:t>
      </w:r>
      <w:r>
        <w:rPr>
          <w:lang w:val="en-US"/>
        </w:rPr>
        <w:t>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 xml:space="preserve">języki programowania: ZPL II, Web </w:t>
      </w:r>
      <w:proofErr w:type="spellStart"/>
      <w:r>
        <w:t>View</w:t>
      </w:r>
      <w:proofErr w:type="spellEnd"/>
      <w:r>
        <w:t>, Alert, ZBI;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dołączone oprogramowanie:</w:t>
      </w:r>
      <w:r>
        <w:tab/>
        <w:t>dedykowana aplikacja do projektowania etykiet;</w:t>
      </w:r>
    </w:p>
    <w:p w:rsidR="00834D14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dostępne opcje dodatkowe: klawiatura;</w:t>
      </w:r>
    </w:p>
    <w:p w:rsidR="00834D14" w:rsidRPr="002B6DA8" w:rsidRDefault="00834D14" w:rsidP="00834D14">
      <w:pPr>
        <w:pStyle w:val="Akapitzlist"/>
        <w:numPr>
          <w:ilvl w:val="0"/>
          <w:numId w:val="2"/>
        </w:numPr>
        <w:spacing w:before="120" w:after="120"/>
        <w:jc w:val="both"/>
      </w:pPr>
      <w:r>
        <w:t>gwarancja: co najmniej 12 miesięcy.</w:t>
      </w:r>
    </w:p>
    <w:p w:rsidR="00834D14" w:rsidRPr="007314BF" w:rsidRDefault="00834D14" w:rsidP="00834D14">
      <w:pPr>
        <w:pStyle w:val="Akapitzlist"/>
        <w:numPr>
          <w:ilvl w:val="1"/>
          <w:numId w:val="1"/>
        </w:numPr>
        <w:spacing w:before="120" w:after="120"/>
        <w:ind w:left="510" w:hanging="510"/>
        <w:contextualSpacing w:val="0"/>
        <w:jc w:val="both"/>
        <w:rPr>
          <w:b/>
        </w:rPr>
      </w:pPr>
      <w:r w:rsidRPr="007314BF">
        <w:rPr>
          <w:b/>
        </w:rPr>
        <w:t xml:space="preserve">Uruchomieniowe akcesoria startowe – 1 komplet </w:t>
      </w:r>
      <w:r>
        <w:rPr>
          <w:b/>
        </w:rPr>
        <w:t>(</w:t>
      </w:r>
      <w:r w:rsidRPr="007314BF">
        <w:rPr>
          <w:b/>
        </w:rPr>
        <w:t>w</w:t>
      </w:r>
      <w:r>
        <w:rPr>
          <w:b/>
        </w:rPr>
        <w:t>g poniższego zestawienia)</w:t>
      </w:r>
    </w:p>
    <w:p w:rsidR="00834D14" w:rsidRDefault="00834D14" w:rsidP="00834D14">
      <w:pPr>
        <w:pStyle w:val="Akapitzlist"/>
        <w:numPr>
          <w:ilvl w:val="2"/>
          <w:numId w:val="3"/>
        </w:numPr>
        <w:spacing w:before="120" w:after="120"/>
        <w:contextualSpacing w:val="0"/>
        <w:jc w:val="both"/>
        <w:rPr>
          <w:b/>
        </w:rPr>
      </w:pPr>
      <w:r w:rsidRPr="00AE2CF0">
        <w:rPr>
          <w:b/>
        </w:rPr>
        <w:t xml:space="preserve">Dedykowane </w:t>
      </w:r>
      <w:r>
        <w:rPr>
          <w:b/>
        </w:rPr>
        <w:t xml:space="preserve">do w/w drukarki </w:t>
      </w:r>
      <w:r w:rsidRPr="00AE2CF0">
        <w:rPr>
          <w:b/>
        </w:rPr>
        <w:t xml:space="preserve">taśmy </w:t>
      </w:r>
      <w:proofErr w:type="spellStart"/>
      <w:r w:rsidRPr="00AE2CF0">
        <w:rPr>
          <w:b/>
        </w:rPr>
        <w:t>termontransferowe</w:t>
      </w:r>
      <w:proofErr w:type="spellEnd"/>
      <w:r>
        <w:rPr>
          <w:b/>
        </w:rPr>
        <w:t xml:space="preserve"> na wałku o szerokości 110 mm (szerokość x długość):</w:t>
      </w:r>
    </w:p>
    <w:p w:rsidR="00834D14" w:rsidRDefault="00834D14" w:rsidP="00834D14">
      <w:pPr>
        <w:pStyle w:val="Akapitzlist"/>
        <w:numPr>
          <w:ilvl w:val="0"/>
          <w:numId w:val="4"/>
        </w:numPr>
        <w:spacing w:before="120" w:after="120"/>
        <w:jc w:val="both"/>
      </w:pPr>
      <w:bookmarkStart w:id="1" w:name="_Hlk13218887"/>
      <w:r w:rsidRPr="00F406DD">
        <w:t xml:space="preserve">taśma woskowa </w:t>
      </w:r>
      <w:r>
        <w:t>–</w:t>
      </w:r>
      <w:r w:rsidRPr="00F406DD">
        <w:t xml:space="preserve"> 84</w:t>
      </w:r>
      <w:r>
        <w:t> </w:t>
      </w:r>
      <w:r w:rsidRPr="00F406DD">
        <w:t>mm x 74</w:t>
      </w:r>
      <w:r>
        <w:t> </w:t>
      </w:r>
      <w:r w:rsidRPr="00F406DD">
        <w:t>m</w:t>
      </w:r>
      <w:r>
        <w:t xml:space="preserve"> – 12 rolek;</w:t>
      </w:r>
    </w:p>
    <w:p w:rsidR="00834D14" w:rsidRPr="007C1B2B" w:rsidRDefault="00834D14" w:rsidP="00834D14">
      <w:pPr>
        <w:pStyle w:val="Akapitzlist"/>
        <w:numPr>
          <w:ilvl w:val="0"/>
          <w:numId w:val="4"/>
        </w:numPr>
        <w:spacing w:before="120" w:after="120"/>
        <w:jc w:val="both"/>
      </w:pPr>
      <w:r w:rsidRPr="008071AB">
        <w:t xml:space="preserve">taśma żywiczna </w:t>
      </w:r>
      <w:r>
        <w:t xml:space="preserve">– </w:t>
      </w:r>
      <w:r w:rsidRPr="00F406DD">
        <w:t>84</w:t>
      </w:r>
      <w:r>
        <w:t> </w:t>
      </w:r>
      <w:r w:rsidRPr="00F406DD">
        <w:t>mm x 74</w:t>
      </w:r>
      <w:r>
        <w:t> </w:t>
      </w:r>
      <w:r w:rsidRPr="00F406DD">
        <w:t>m</w:t>
      </w:r>
      <w:r>
        <w:t xml:space="preserve"> – 10 rolek.</w:t>
      </w:r>
    </w:p>
    <w:bookmarkEnd w:id="1"/>
    <w:p w:rsidR="00834D14" w:rsidRDefault="00834D14" w:rsidP="00834D14">
      <w:pPr>
        <w:pStyle w:val="Akapitzlist"/>
        <w:numPr>
          <w:ilvl w:val="2"/>
          <w:numId w:val="3"/>
        </w:numPr>
        <w:spacing w:before="120" w:after="120"/>
        <w:contextualSpacing w:val="0"/>
        <w:jc w:val="both"/>
        <w:rPr>
          <w:b/>
        </w:rPr>
      </w:pPr>
      <w:r>
        <w:rPr>
          <w:b/>
        </w:rPr>
        <w:t>D</w:t>
      </w:r>
      <w:r w:rsidRPr="00AE2CF0">
        <w:rPr>
          <w:b/>
        </w:rPr>
        <w:t xml:space="preserve">edykowane </w:t>
      </w:r>
      <w:r>
        <w:rPr>
          <w:b/>
        </w:rPr>
        <w:t xml:space="preserve">do w/w drukarki </w:t>
      </w:r>
      <w:r w:rsidRPr="00AE2CF0">
        <w:rPr>
          <w:b/>
        </w:rPr>
        <w:t>etykiety na gilzie 40 mm</w:t>
      </w:r>
      <w:r>
        <w:rPr>
          <w:b/>
        </w:rPr>
        <w:t xml:space="preserve"> (szerokość x długość):</w:t>
      </w:r>
    </w:p>
    <w:p w:rsidR="00834D14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 xml:space="preserve">biały papier </w:t>
      </w:r>
      <w:proofErr w:type="spellStart"/>
      <w:r>
        <w:t>termotransferowy</w:t>
      </w:r>
      <w:proofErr w:type="spellEnd"/>
      <w:r>
        <w:t xml:space="preserve"> półbłyszczący, 40x30 mm, 2000 szt. – 5 rolek;</w:t>
      </w:r>
    </w:p>
    <w:p w:rsidR="00834D14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 xml:space="preserve">biały papier </w:t>
      </w:r>
      <w:proofErr w:type="spellStart"/>
      <w:r>
        <w:t>termotransferowy</w:t>
      </w:r>
      <w:proofErr w:type="spellEnd"/>
      <w:r>
        <w:t xml:space="preserve"> półbłyszczący, 50x30 mm, 2000 szt. – 5 rolek;</w:t>
      </w:r>
    </w:p>
    <w:p w:rsidR="00834D14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 xml:space="preserve">biały papier </w:t>
      </w:r>
      <w:proofErr w:type="spellStart"/>
      <w:r>
        <w:t>termotransferowy</w:t>
      </w:r>
      <w:proofErr w:type="spellEnd"/>
      <w:r>
        <w:t xml:space="preserve"> półbłyszczący, 80x50 mm, 1000 szt. – 5 rolek;</w:t>
      </w:r>
    </w:p>
    <w:p w:rsidR="00834D14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>biała folia polipropylen, 50x30 mm, 1000 szt. – 5 rolek;</w:t>
      </w:r>
    </w:p>
    <w:p w:rsidR="00834D14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>biała folia polipropylen, 80x50 mm, 1000 szt. – 5 rolek;</w:t>
      </w:r>
    </w:p>
    <w:p w:rsidR="00834D14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>biała folia poliester, 50x30 mm, 1000 szt. – 5 rolek;</w:t>
      </w:r>
    </w:p>
    <w:p w:rsidR="00834D14" w:rsidRPr="007C1B2B" w:rsidRDefault="00834D14" w:rsidP="00834D14">
      <w:pPr>
        <w:pStyle w:val="Akapitzlist"/>
        <w:numPr>
          <w:ilvl w:val="0"/>
          <w:numId w:val="5"/>
        </w:numPr>
        <w:spacing w:before="120" w:after="120"/>
        <w:jc w:val="both"/>
      </w:pPr>
      <w:r>
        <w:t>srebrna folia poliester, 50x30 mm, 1000 szt. – 5 rolek.</w:t>
      </w:r>
    </w:p>
    <w:p w:rsidR="00834D14" w:rsidRPr="00F32B29" w:rsidRDefault="00834D14" w:rsidP="00834D14">
      <w:pPr>
        <w:spacing w:before="120" w:after="120"/>
        <w:jc w:val="both"/>
        <w:rPr>
          <w:b/>
        </w:rPr>
      </w:pPr>
    </w:p>
    <w:p w:rsidR="00834D14" w:rsidRPr="00DD3DAA" w:rsidRDefault="00834D14" w:rsidP="00DD3DA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34D14" w:rsidRPr="00DD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4A2C"/>
    <w:multiLevelType w:val="hybridMultilevel"/>
    <w:tmpl w:val="159456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26C81"/>
    <w:multiLevelType w:val="hybridMultilevel"/>
    <w:tmpl w:val="E5B28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67F"/>
    <w:multiLevelType w:val="multilevel"/>
    <w:tmpl w:val="37984A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334886"/>
    <w:multiLevelType w:val="hybridMultilevel"/>
    <w:tmpl w:val="159456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D60BD4"/>
    <w:multiLevelType w:val="multilevel"/>
    <w:tmpl w:val="1840B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D8"/>
    <w:rsid w:val="000A5027"/>
    <w:rsid w:val="00101CB7"/>
    <w:rsid w:val="002E56FC"/>
    <w:rsid w:val="00381CD6"/>
    <w:rsid w:val="005C04D2"/>
    <w:rsid w:val="007A3F24"/>
    <w:rsid w:val="00834D14"/>
    <w:rsid w:val="0089124D"/>
    <w:rsid w:val="0098439E"/>
    <w:rsid w:val="00B008AA"/>
    <w:rsid w:val="00C65299"/>
    <w:rsid w:val="00D84FD8"/>
    <w:rsid w:val="00D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8D417-6A28-4D80-9D0B-E41D396A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D1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1990</Words>
  <Characters>11945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dcterms:created xsi:type="dcterms:W3CDTF">2019-08-07T07:19:00Z</dcterms:created>
  <dcterms:modified xsi:type="dcterms:W3CDTF">2019-08-07T08:04:00Z</dcterms:modified>
</cp:coreProperties>
</file>