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C48" w:rsidRPr="000B7C48" w:rsidRDefault="000B7C48" w:rsidP="0007464C">
      <w:pPr>
        <w:pStyle w:val="Nagwek"/>
      </w:pPr>
      <w:bookmarkStart w:id="0" w:name="_GoBack"/>
      <w:bookmarkEnd w:id="0"/>
      <w:r w:rsidRPr="000B7C48">
        <w:rPr>
          <w:noProof/>
        </w:rPr>
        <w:drawing>
          <wp:inline distT="0" distB="0" distL="0" distR="0" wp14:anchorId="502EE5CA" wp14:editId="323254B8">
            <wp:extent cx="5904230" cy="1059180"/>
            <wp:effectExtent l="0" t="0" r="1270" b="762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4230" cy="1059180"/>
                    </a:xfrm>
                    <a:prstGeom prst="rect">
                      <a:avLst/>
                    </a:prstGeom>
                    <a:noFill/>
                    <a:ln>
                      <a:noFill/>
                    </a:ln>
                  </pic:spPr>
                </pic:pic>
              </a:graphicData>
            </a:graphic>
          </wp:inline>
        </w:drawing>
      </w:r>
    </w:p>
    <w:p w:rsidR="000B7C48" w:rsidRPr="000B7C48" w:rsidRDefault="000B7C48" w:rsidP="00593683">
      <w:pPr>
        <w:pStyle w:val="p2"/>
        <w:spacing w:before="0" w:beforeAutospacing="0" w:after="0" w:afterAutospacing="0"/>
        <w:jc w:val="center"/>
        <w:rPr>
          <w:sz w:val="22"/>
          <w:szCs w:val="22"/>
        </w:rPr>
      </w:pPr>
      <w:r w:rsidRPr="000B7C48">
        <w:rPr>
          <w:bCs/>
          <w:color w:val="000000"/>
          <w:sz w:val="22"/>
          <w:szCs w:val="22"/>
        </w:rPr>
        <w:t xml:space="preserve">Zamówienie finansowane w ramach: </w:t>
      </w:r>
      <w:r w:rsidRPr="000B7C48">
        <w:rPr>
          <w:sz w:val="22"/>
          <w:szCs w:val="22"/>
        </w:rPr>
        <w:t>Projektu „</w:t>
      </w:r>
      <w:r w:rsidRPr="000B7C48">
        <w:rPr>
          <w:color w:val="272727"/>
          <w:sz w:val="22"/>
          <w:szCs w:val="22"/>
        </w:rPr>
        <w:t>Elektronika dla branży automotive</w:t>
      </w:r>
    </w:p>
    <w:p w:rsidR="000B7C48" w:rsidRPr="000B7C48" w:rsidRDefault="000B7C48" w:rsidP="00593683">
      <w:pPr>
        <w:pStyle w:val="p2"/>
        <w:spacing w:before="0" w:beforeAutospacing="0" w:after="0" w:afterAutospacing="0"/>
        <w:jc w:val="center"/>
        <w:rPr>
          <w:b/>
          <w:bCs/>
          <w:color w:val="000000"/>
          <w:sz w:val="22"/>
          <w:szCs w:val="22"/>
        </w:rPr>
      </w:pPr>
      <w:r w:rsidRPr="000B7C48">
        <w:rPr>
          <w:sz w:val="22"/>
          <w:szCs w:val="22"/>
        </w:rPr>
        <w:t xml:space="preserve">- </w:t>
      </w:r>
      <w:r w:rsidRPr="000B7C48">
        <w:rPr>
          <w:color w:val="000000" w:themeColor="text1"/>
          <w:sz w:val="22"/>
          <w:szCs w:val="22"/>
        </w:rPr>
        <w:t>POWR.03.01.00-00-T006/17</w:t>
      </w:r>
    </w:p>
    <w:p w:rsidR="0023519A" w:rsidRPr="000B7C48" w:rsidRDefault="0023519A" w:rsidP="00593683">
      <w:pPr>
        <w:jc w:val="right"/>
        <w:rPr>
          <w:rFonts w:ascii="Times New Roman" w:hAnsi="Times New Roman" w:cs="Times New Roman"/>
        </w:rPr>
      </w:pPr>
    </w:p>
    <w:p w:rsidR="00C45DBA" w:rsidRPr="000B7C48" w:rsidRDefault="000B7C48" w:rsidP="00593683">
      <w:pPr>
        <w:jc w:val="right"/>
        <w:rPr>
          <w:rFonts w:ascii="Times New Roman" w:hAnsi="Times New Roman" w:cs="Times New Roman"/>
        </w:rPr>
      </w:pPr>
      <w:r w:rsidRPr="000B7C48">
        <w:rPr>
          <w:rFonts w:ascii="Times New Roman" w:hAnsi="Times New Roman" w:cs="Times New Roman"/>
        </w:rPr>
        <w:t xml:space="preserve">Zał. </w:t>
      </w:r>
      <w:r w:rsidR="00C45DBA" w:rsidRPr="000B7C48">
        <w:rPr>
          <w:rFonts w:ascii="Times New Roman" w:hAnsi="Times New Roman" w:cs="Times New Roman"/>
        </w:rPr>
        <w:t xml:space="preserve">nr 2 </w:t>
      </w:r>
      <w:r>
        <w:rPr>
          <w:rFonts w:ascii="Times New Roman" w:hAnsi="Times New Roman" w:cs="Times New Roman"/>
        </w:rPr>
        <w:t xml:space="preserve">do zapytania ofertowego </w:t>
      </w:r>
    </w:p>
    <w:p w:rsidR="00C45DBA" w:rsidRDefault="00C45DBA" w:rsidP="00593683">
      <w:pPr>
        <w:jc w:val="center"/>
        <w:rPr>
          <w:rFonts w:ascii="Times New Roman" w:hAnsi="Times New Roman" w:cs="Times New Roman"/>
          <w:b/>
          <w:sz w:val="36"/>
          <w:szCs w:val="36"/>
        </w:rPr>
      </w:pPr>
      <w:r w:rsidRPr="000B7C48">
        <w:rPr>
          <w:rFonts w:ascii="Times New Roman" w:hAnsi="Times New Roman" w:cs="Times New Roman"/>
          <w:b/>
          <w:sz w:val="36"/>
          <w:szCs w:val="36"/>
        </w:rPr>
        <w:t>Szczegółowy opis przedmiotu zamówienia</w:t>
      </w:r>
    </w:p>
    <w:p w:rsidR="00593683" w:rsidRPr="00E309FA" w:rsidRDefault="00593683" w:rsidP="00593683">
      <w:pPr>
        <w:jc w:val="center"/>
        <w:rPr>
          <w:rFonts w:ascii="Times New Roman" w:hAnsi="Times New Roman" w:cs="Times New Roman"/>
          <w:b/>
          <w:sz w:val="16"/>
          <w:szCs w:val="16"/>
        </w:rPr>
      </w:pPr>
    </w:p>
    <w:p w:rsidR="00593683" w:rsidRPr="00B0551D" w:rsidRDefault="00593683" w:rsidP="00593683">
      <w:pPr>
        <w:pStyle w:val="Tekstpodstawowy"/>
        <w:jc w:val="both"/>
        <w:rPr>
          <w:b/>
          <w:sz w:val="28"/>
          <w:szCs w:val="28"/>
          <w:u w:val="single"/>
        </w:rPr>
      </w:pPr>
      <w:r w:rsidRPr="00B0551D">
        <w:rPr>
          <w:b/>
          <w:sz w:val="28"/>
          <w:szCs w:val="28"/>
          <w:u w:val="single"/>
        </w:rPr>
        <w:t>W przypadku organizacji szkolenia powyżej 50 km od Rzeszowa Wykonawca jest obowiązany zapewnić wszystkim uczestnikom szkolenia usługę transportową</w:t>
      </w:r>
    </w:p>
    <w:p w:rsidR="00593683" w:rsidRPr="00B0551D" w:rsidRDefault="00593683" w:rsidP="00593683">
      <w:pPr>
        <w:pStyle w:val="Tekstpodstawowy"/>
        <w:jc w:val="both"/>
        <w:rPr>
          <w:b/>
          <w:sz w:val="28"/>
          <w:szCs w:val="28"/>
          <w:u w:val="single"/>
        </w:rPr>
      </w:pPr>
      <w:r w:rsidRPr="00B0551D">
        <w:rPr>
          <w:b/>
          <w:sz w:val="28"/>
          <w:szCs w:val="28"/>
          <w:u w:val="single"/>
        </w:rPr>
        <w:t xml:space="preserve">W przypadku organizacji szkolenia powyżej 150 km od Rzeszowa Wykonawca jest obowiązany zapewnić wszystkim uczestnikom szkolenia usługę transportową oraz zakwaterowanie uczestników szkolenia </w:t>
      </w:r>
    </w:p>
    <w:p w:rsidR="00593683" w:rsidRPr="00E309FA" w:rsidRDefault="00593683" w:rsidP="00E309FA">
      <w:pPr>
        <w:rPr>
          <w:rFonts w:ascii="Times New Roman" w:hAnsi="Times New Roman" w:cs="Times New Roman"/>
          <w:b/>
          <w:sz w:val="16"/>
          <w:szCs w:val="16"/>
        </w:rPr>
      </w:pPr>
    </w:p>
    <w:p w:rsidR="00C45DBA" w:rsidRPr="000B7C48" w:rsidRDefault="00C45DBA" w:rsidP="0007464C">
      <w:pPr>
        <w:autoSpaceDE w:val="0"/>
        <w:autoSpaceDN w:val="0"/>
        <w:adjustRightInd w:val="0"/>
        <w:rPr>
          <w:rFonts w:ascii="Times New Roman" w:eastAsia="Calibri" w:hAnsi="Times New Roman" w:cs="Times New Roman"/>
          <w:b/>
        </w:rPr>
      </w:pPr>
      <w:r w:rsidRPr="000B7C48">
        <w:rPr>
          <w:rFonts w:ascii="Times New Roman" w:eastAsia="Calibri" w:hAnsi="Times New Roman" w:cs="Times New Roman"/>
          <w:b/>
        </w:rPr>
        <w:t>1. USŁUGA HOTELARSKA</w:t>
      </w:r>
      <w:r w:rsidR="00E309FA">
        <w:rPr>
          <w:rFonts w:ascii="Times New Roman" w:eastAsia="Calibri" w:hAnsi="Times New Roman" w:cs="Times New Roman"/>
          <w:b/>
        </w:rPr>
        <w:t xml:space="preserve"> </w:t>
      </w:r>
    </w:p>
    <w:p w:rsidR="00C45DBA" w:rsidRPr="000B7C48" w:rsidRDefault="00C45DBA" w:rsidP="0007464C">
      <w:pPr>
        <w:pStyle w:val="Tekstpodstawowy"/>
        <w:spacing w:after="0"/>
        <w:rPr>
          <w:rFonts w:eastAsia="Calibri"/>
          <w:b/>
        </w:rPr>
      </w:pPr>
      <w:r w:rsidRPr="000B7C48">
        <w:rPr>
          <w:rFonts w:eastAsia="Calibri"/>
          <w:b/>
          <w:lang w:val="pl-PL"/>
        </w:rPr>
        <w:t>Wspólny</w:t>
      </w:r>
      <w:r w:rsidRPr="000B7C48">
        <w:rPr>
          <w:rFonts w:eastAsia="Calibri"/>
          <w:b/>
        </w:rPr>
        <w:t xml:space="preserve"> Słownik Zamówień Publicznych: 55100000-1 Usługi hotelarskie, </w:t>
      </w:r>
    </w:p>
    <w:p w:rsidR="00C45DBA" w:rsidRPr="000B7C48" w:rsidRDefault="00C45DBA" w:rsidP="0007464C">
      <w:pPr>
        <w:pStyle w:val="Tekstpodstawowy"/>
        <w:spacing w:after="0"/>
        <w:rPr>
          <w:b/>
          <w:lang w:val="pl-PL" w:eastAsia="pl-PL"/>
        </w:rPr>
      </w:pPr>
      <w:r w:rsidRPr="000B7C48">
        <w:rPr>
          <w:rFonts w:eastAsia="Calibri"/>
          <w:b/>
        </w:rPr>
        <w:t>55110000-4 Hotelarskie usługi noclegowe</w:t>
      </w:r>
      <w:r w:rsidRPr="000B7C48">
        <w:rPr>
          <w:rFonts w:eastAsia="Calibri"/>
        </w:rPr>
        <w:t>;</w:t>
      </w:r>
    </w:p>
    <w:p w:rsidR="00C45DBA" w:rsidRPr="000B7C48" w:rsidRDefault="00C45DBA" w:rsidP="0007464C">
      <w:pPr>
        <w:pStyle w:val="Tekstpodstawowy"/>
        <w:spacing w:after="0"/>
        <w:rPr>
          <w:lang w:val="pl-PL" w:eastAsia="pl-PL"/>
        </w:rPr>
      </w:pPr>
      <w:r w:rsidRPr="000B7C48">
        <w:rPr>
          <w:lang w:val="pl-PL" w:eastAsia="pl-PL"/>
        </w:rPr>
        <w:t>Wymagania dotyczące zakwaterowania uczestników szkolenia (dotyczy, gdy szkolenie będzie realizowane w odległości co najmniej 120 km od Rzeszowa):</w:t>
      </w:r>
    </w:p>
    <w:p w:rsidR="00C45DBA" w:rsidRPr="000B7C48" w:rsidRDefault="00C45DBA" w:rsidP="0007464C">
      <w:pPr>
        <w:pStyle w:val="Tekstpodstawowy"/>
        <w:spacing w:after="0"/>
        <w:rPr>
          <w:lang w:val="pl-PL" w:eastAsia="pl-PL"/>
        </w:rPr>
      </w:pPr>
      <w:r w:rsidRPr="000B7C48">
        <w:rPr>
          <w:lang w:val="pl-PL" w:eastAsia="pl-PL"/>
        </w:rPr>
        <w:t>Na czas realizacji szkoleń należy zapewnić uczestnikom:</w:t>
      </w:r>
    </w:p>
    <w:p w:rsidR="00C45DBA" w:rsidRPr="000B7C48" w:rsidRDefault="00C45DBA" w:rsidP="0007464C">
      <w:pPr>
        <w:pStyle w:val="Tekstpodstawowy"/>
        <w:spacing w:after="0"/>
        <w:rPr>
          <w:lang w:val="pl-PL" w:eastAsia="pl-PL"/>
        </w:rPr>
      </w:pPr>
      <w:r w:rsidRPr="000B7C48">
        <w:rPr>
          <w:b/>
          <w:lang w:val="pl-PL" w:eastAsia="pl-PL"/>
        </w:rPr>
        <w:t xml:space="preserve">zakwaterowanie w hotelu </w:t>
      </w:r>
      <w:r w:rsidRPr="000B7C48">
        <w:rPr>
          <w:lang w:val="pl-PL" w:eastAsia="pl-PL"/>
        </w:rPr>
        <w:t>(dla każdego studenta):</w:t>
      </w:r>
    </w:p>
    <w:p w:rsidR="00C45DBA" w:rsidRPr="000B7C48" w:rsidRDefault="00C45DBA" w:rsidP="0007464C">
      <w:pPr>
        <w:pStyle w:val="Tekstpodstawowy"/>
        <w:spacing w:after="0"/>
        <w:rPr>
          <w:lang w:val="pl-PL" w:eastAsia="pl-PL"/>
        </w:rPr>
      </w:pPr>
      <w:r w:rsidRPr="000B7C48">
        <w:rPr>
          <w:b/>
          <w:lang w:val="pl-PL" w:eastAsia="pl-PL"/>
        </w:rPr>
        <w:t xml:space="preserve">- minimum 2x nocleg </w:t>
      </w:r>
      <w:r w:rsidRPr="000B7C48">
        <w:rPr>
          <w:lang w:val="pl-PL" w:eastAsia="pl-PL"/>
        </w:rPr>
        <w:t xml:space="preserve">w terminie realizacji szkolenia pn. </w:t>
      </w:r>
      <w:proofErr w:type="spellStart"/>
      <w:r w:rsidRPr="000B7C48">
        <w:rPr>
          <w:lang w:val="pl-PL" w:eastAsia="pl-PL"/>
        </w:rPr>
        <w:t>LabVIEW</w:t>
      </w:r>
      <w:proofErr w:type="spellEnd"/>
      <w:r w:rsidRPr="000B7C48">
        <w:rPr>
          <w:lang w:val="pl-PL" w:eastAsia="pl-PL"/>
        </w:rPr>
        <w:t xml:space="preserve"> </w:t>
      </w:r>
      <w:proofErr w:type="spellStart"/>
      <w:r w:rsidRPr="000B7C48">
        <w:rPr>
          <w:lang w:val="pl-PL" w:eastAsia="pl-PL"/>
        </w:rPr>
        <w:t>Core</w:t>
      </w:r>
      <w:proofErr w:type="spellEnd"/>
      <w:r w:rsidRPr="000B7C48">
        <w:rPr>
          <w:lang w:val="pl-PL" w:eastAsia="pl-PL"/>
        </w:rPr>
        <w:t xml:space="preserve"> 1,</w:t>
      </w:r>
    </w:p>
    <w:p w:rsidR="00C45DBA" w:rsidRPr="000B7C48" w:rsidRDefault="00C45DBA" w:rsidP="0007464C">
      <w:pPr>
        <w:pStyle w:val="Tekstpodstawowy"/>
        <w:spacing w:after="0"/>
        <w:rPr>
          <w:lang w:val="en-US" w:eastAsia="pl-PL"/>
        </w:rPr>
      </w:pPr>
      <w:r w:rsidRPr="000B7C48">
        <w:rPr>
          <w:b/>
          <w:lang w:val="pl-PL" w:eastAsia="pl-PL"/>
        </w:rPr>
        <w:t xml:space="preserve">- minimum 1x nocleg </w:t>
      </w:r>
      <w:r w:rsidRPr="000B7C48">
        <w:rPr>
          <w:lang w:val="pl-PL" w:eastAsia="pl-PL"/>
        </w:rPr>
        <w:t xml:space="preserve">w terminie realizacji szkolenia pn. </w:t>
      </w:r>
      <w:r w:rsidRPr="000B7C48">
        <w:rPr>
          <w:lang w:val="en-US" w:eastAsia="pl-PL"/>
        </w:rPr>
        <w:t>Data Acquisition Using NI-DAQmx and LabVIEW,</w:t>
      </w:r>
    </w:p>
    <w:p w:rsidR="00C45DBA" w:rsidRPr="000B7C48" w:rsidRDefault="00C45DBA" w:rsidP="0007464C">
      <w:pPr>
        <w:pStyle w:val="Tekstpodstawowy"/>
        <w:spacing w:after="0"/>
        <w:rPr>
          <w:lang w:val="pl-PL" w:eastAsia="pl-PL"/>
        </w:rPr>
      </w:pPr>
      <w:r w:rsidRPr="000B7C48">
        <w:rPr>
          <w:b/>
          <w:lang w:val="pl-PL" w:eastAsia="pl-PL"/>
        </w:rPr>
        <w:t xml:space="preserve">- minimum 1x nocleg </w:t>
      </w:r>
      <w:r w:rsidRPr="000B7C48">
        <w:rPr>
          <w:lang w:val="pl-PL" w:eastAsia="pl-PL"/>
        </w:rPr>
        <w:t>w terminie realizacji szkolenia pn.</w:t>
      </w:r>
      <w:r w:rsidRPr="000B7C48">
        <w:t xml:space="preserve"> </w:t>
      </w:r>
      <w:proofErr w:type="spellStart"/>
      <w:r w:rsidRPr="000B7C48">
        <w:rPr>
          <w:lang w:val="pl-PL" w:eastAsia="pl-PL"/>
        </w:rPr>
        <w:t>LabVIEW</w:t>
      </w:r>
      <w:proofErr w:type="spellEnd"/>
      <w:r w:rsidRPr="000B7C48">
        <w:rPr>
          <w:lang w:val="pl-PL" w:eastAsia="pl-PL"/>
        </w:rPr>
        <w:t xml:space="preserve"> </w:t>
      </w:r>
      <w:proofErr w:type="spellStart"/>
      <w:r w:rsidRPr="000B7C48">
        <w:rPr>
          <w:lang w:val="pl-PL" w:eastAsia="pl-PL"/>
        </w:rPr>
        <w:t>Core</w:t>
      </w:r>
      <w:proofErr w:type="spellEnd"/>
      <w:r w:rsidRPr="000B7C48">
        <w:rPr>
          <w:lang w:val="pl-PL" w:eastAsia="pl-PL"/>
        </w:rPr>
        <w:t xml:space="preserve"> 2,</w:t>
      </w:r>
    </w:p>
    <w:p w:rsidR="00C45DBA" w:rsidRPr="000B7C48" w:rsidRDefault="00C45DBA" w:rsidP="0007464C">
      <w:pPr>
        <w:pStyle w:val="Tekstpodstawowy"/>
        <w:spacing w:after="0"/>
        <w:rPr>
          <w:lang w:val="en-US" w:eastAsia="pl-PL"/>
        </w:rPr>
      </w:pPr>
      <w:r w:rsidRPr="000B7C48">
        <w:rPr>
          <w:b/>
          <w:lang w:val="pl-PL" w:eastAsia="pl-PL"/>
        </w:rPr>
        <w:t xml:space="preserve">- minimum 2x nocleg </w:t>
      </w:r>
      <w:r w:rsidRPr="000B7C48">
        <w:rPr>
          <w:lang w:val="pl-PL" w:eastAsia="pl-PL"/>
        </w:rPr>
        <w:t xml:space="preserve">w terminie realizacji szkolenia pn. </w:t>
      </w:r>
      <w:r w:rsidRPr="000B7C48">
        <w:rPr>
          <w:lang w:val="en-US" w:eastAsia="pl-PL"/>
        </w:rPr>
        <w:t xml:space="preserve">Developing Test Programs Using </w:t>
      </w:r>
      <w:proofErr w:type="spellStart"/>
      <w:r w:rsidRPr="000B7C48">
        <w:rPr>
          <w:lang w:val="en-US" w:eastAsia="pl-PL"/>
        </w:rPr>
        <w:t>TestStand</w:t>
      </w:r>
      <w:proofErr w:type="spellEnd"/>
      <w:r w:rsidRPr="000B7C48">
        <w:rPr>
          <w:lang w:val="en-US" w:eastAsia="pl-PL"/>
        </w:rPr>
        <w:t>,</w:t>
      </w:r>
    </w:p>
    <w:p w:rsidR="00C45DBA" w:rsidRPr="000B7C48" w:rsidRDefault="00C45DBA" w:rsidP="0007464C">
      <w:pPr>
        <w:pStyle w:val="Tekstpodstawowy"/>
        <w:spacing w:after="0"/>
        <w:rPr>
          <w:lang w:val="pl-PL" w:eastAsia="pl-PL"/>
        </w:rPr>
      </w:pPr>
      <w:r w:rsidRPr="000B7C48">
        <w:rPr>
          <w:b/>
          <w:lang w:val="pl-PL" w:eastAsia="pl-PL"/>
        </w:rPr>
        <w:t xml:space="preserve">- minimum 2x nocleg </w:t>
      </w:r>
      <w:r w:rsidRPr="000B7C48">
        <w:rPr>
          <w:lang w:val="pl-PL" w:eastAsia="pl-PL"/>
        </w:rPr>
        <w:t>w terminie realizacji szkolenia pn.</w:t>
      </w:r>
      <w:r w:rsidRPr="000B7C48">
        <w:t xml:space="preserve"> </w:t>
      </w:r>
      <w:proofErr w:type="spellStart"/>
      <w:r w:rsidRPr="000B7C48">
        <w:rPr>
          <w:lang w:val="pl-PL" w:eastAsia="pl-PL"/>
        </w:rPr>
        <w:t>LabVIEW</w:t>
      </w:r>
      <w:proofErr w:type="spellEnd"/>
      <w:r w:rsidRPr="000B7C48">
        <w:rPr>
          <w:lang w:val="pl-PL" w:eastAsia="pl-PL"/>
        </w:rPr>
        <w:t xml:space="preserve"> Machine </w:t>
      </w:r>
      <w:proofErr w:type="spellStart"/>
      <w:r w:rsidRPr="000B7C48">
        <w:rPr>
          <w:lang w:val="pl-PL" w:eastAsia="pl-PL"/>
        </w:rPr>
        <w:t>Vision</w:t>
      </w:r>
      <w:proofErr w:type="spellEnd"/>
      <w:r w:rsidRPr="000B7C48">
        <w:rPr>
          <w:lang w:val="pl-PL" w:eastAsia="pl-PL"/>
        </w:rPr>
        <w:t>.</w:t>
      </w:r>
    </w:p>
    <w:p w:rsidR="00C45DBA" w:rsidRPr="000B7C48" w:rsidRDefault="00C45DBA" w:rsidP="0007464C">
      <w:pPr>
        <w:pStyle w:val="Tekstpodstawowy"/>
        <w:spacing w:after="0"/>
        <w:rPr>
          <w:lang w:val="pl-PL" w:eastAsia="pl-PL"/>
        </w:rPr>
      </w:pPr>
    </w:p>
    <w:p w:rsidR="00C45DBA" w:rsidRPr="000B7C48" w:rsidRDefault="00C45DBA" w:rsidP="0007464C">
      <w:pPr>
        <w:pStyle w:val="Tekstpodstawowy"/>
        <w:spacing w:after="0"/>
        <w:rPr>
          <w:lang w:val="pl-PL" w:eastAsia="pl-PL"/>
        </w:rPr>
      </w:pPr>
      <w:r w:rsidRPr="000B7C48">
        <w:rPr>
          <w:lang w:val="pl-PL" w:eastAsia="pl-PL"/>
        </w:rPr>
        <w:t>Standard hotelu: do 3 gwiazdek; pokoje 1 lub 2 osobowe (z wyłączeniem możliwości noclegów „mieszanych” tj. zagwarantowaniem takiej liczby pokojów dwuosobowych, aby nie wystąpiła konieczność noclegu w tym samym pokoju kobiet i mężczyzn; przewidywani uczestnicy szkoleń to 10 M), pokoje z łazienką (wanna lub prysznic, ręczniki, lustro, kosmetyki (np. mydło, szampon), papier toaletowy), dostęp do TV i Internetu, śniadanie w cenie noclegu.</w:t>
      </w:r>
    </w:p>
    <w:p w:rsidR="00C45DBA" w:rsidRPr="000B7C48" w:rsidRDefault="00C45DBA" w:rsidP="0007464C">
      <w:pPr>
        <w:pStyle w:val="Tekstpodstawowy"/>
        <w:spacing w:after="0"/>
        <w:rPr>
          <w:lang w:val="pl-PL" w:eastAsia="pl-PL"/>
        </w:rPr>
      </w:pPr>
    </w:p>
    <w:p w:rsidR="00C45DBA" w:rsidRPr="000B7C48" w:rsidRDefault="00C45DBA" w:rsidP="0007464C">
      <w:pPr>
        <w:autoSpaceDE w:val="0"/>
        <w:autoSpaceDN w:val="0"/>
        <w:adjustRightInd w:val="0"/>
        <w:rPr>
          <w:rFonts w:ascii="Times New Roman" w:eastAsia="Calibri" w:hAnsi="Times New Roman" w:cs="Times New Roman"/>
          <w:b/>
        </w:rPr>
      </w:pPr>
      <w:r w:rsidRPr="000B7C48">
        <w:rPr>
          <w:rFonts w:ascii="Times New Roman" w:eastAsia="Calibri" w:hAnsi="Times New Roman" w:cs="Times New Roman"/>
          <w:b/>
        </w:rPr>
        <w:t>2. USŁUGA CATERINGOWA:</w:t>
      </w:r>
    </w:p>
    <w:p w:rsidR="00C45DBA" w:rsidRPr="000B7C48" w:rsidRDefault="00C45DBA" w:rsidP="0007464C">
      <w:pPr>
        <w:pStyle w:val="Tekstpodstawowy"/>
        <w:spacing w:after="0"/>
        <w:rPr>
          <w:lang w:val="pl-PL" w:eastAsia="pl-PL"/>
        </w:rPr>
      </w:pPr>
      <w:r w:rsidRPr="000B7C48">
        <w:rPr>
          <w:rFonts w:eastAsia="Calibri"/>
          <w:b/>
          <w:lang w:val="pl-PL"/>
        </w:rPr>
        <w:t>Wspólny</w:t>
      </w:r>
      <w:r w:rsidRPr="000B7C48">
        <w:rPr>
          <w:rFonts w:eastAsia="Calibri"/>
          <w:b/>
        </w:rPr>
        <w:t xml:space="preserve"> Słownik Zamówień Publicznych</w:t>
      </w:r>
      <w:r w:rsidRPr="000B7C48">
        <w:rPr>
          <w:rFonts w:eastAsia="Calibri"/>
        </w:rPr>
        <w:t>: 55300000-3 Usługi restauracyjne i dotyczące podawania posiłków</w:t>
      </w:r>
    </w:p>
    <w:p w:rsidR="00C45DBA" w:rsidRPr="000B7C48" w:rsidRDefault="00C45DBA" w:rsidP="0007464C">
      <w:pPr>
        <w:pStyle w:val="Tekstpodstawowy"/>
        <w:spacing w:after="0"/>
        <w:rPr>
          <w:lang w:val="pl-PL" w:eastAsia="pl-PL"/>
        </w:rPr>
      </w:pPr>
      <w:r w:rsidRPr="000B7C48">
        <w:rPr>
          <w:lang w:val="pl-PL" w:eastAsia="pl-PL"/>
        </w:rPr>
        <w:lastRenderedPageBreak/>
        <w:t xml:space="preserve">- wyżywienie (dla każdego studenta): </w:t>
      </w:r>
    </w:p>
    <w:p w:rsidR="00C45DBA" w:rsidRPr="000B7C48" w:rsidRDefault="00C45DBA" w:rsidP="0007464C">
      <w:pPr>
        <w:pStyle w:val="Tekstpodstawowy"/>
        <w:spacing w:after="0"/>
        <w:rPr>
          <w:lang w:val="pl-PL" w:eastAsia="pl-PL"/>
        </w:rPr>
      </w:pPr>
      <w:r w:rsidRPr="000B7C48">
        <w:rPr>
          <w:lang w:val="pl-PL" w:eastAsia="pl-PL"/>
        </w:rPr>
        <w:t xml:space="preserve">3 x obiad oraz 2 x kolacja w terminie i w miejscu realizacji szkolenia pn. </w:t>
      </w:r>
      <w:proofErr w:type="spellStart"/>
      <w:r w:rsidRPr="000B7C48">
        <w:rPr>
          <w:lang w:val="pl-PL" w:eastAsia="pl-PL"/>
        </w:rPr>
        <w:t>LabVIEW</w:t>
      </w:r>
      <w:proofErr w:type="spellEnd"/>
      <w:r w:rsidRPr="000B7C48">
        <w:rPr>
          <w:lang w:val="pl-PL" w:eastAsia="pl-PL"/>
        </w:rPr>
        <w:t xml:space="preserve"> </w:t>
      </w:r>
      <w:proofErr w:type="spellStart"/>
      <w:r w:rsidRPr="000B7C48">
        <w:rPr>
          <w:lang w:val="pl-PL" w:eastAsia="pl-PL"/>
        </w:rPr>
        <w:t>Core</w:t>
      </w:r>
      <w:proofErr w:type="spellEnd"/>
      <w:r w:rsidRPr="000B7C48">
        <w:rPr>
          <w:lang w:val="pl-PL" w:eastAsia="pl-PL"/>
        </w:rPr>
        <w:t xml:space="preserve"> 1.</w:t>
      </w:r>
    </w:p>
    <w:p w:rsidR="00C45DBA" w:rsidRPr="000B7C48" w:rsidRDefault="00C45DBA" w:rsidP="0007464C">
      <w:pPr>
        <w:pStyle w:val="Tekstpodstawowy"/>
        <w:spacing w:after="0"/>
        <w:rPr>
          <w:lang w:val="pl-PL" w:eastAsia="pl-PL"/>
        </w:rPr>
      </w:pPr>
      <w:r w:rsidRPr="000B7C48">
        <w:rPr>
          <w:lang w:val="pl-PL" w:eastAsia="pl-PL"/>
        </w:rPr>
        <w:t xml:space="preserve">2 x obiad oraz 1 x kolacja w terminie i w miejscu realizacji szkolenia pn. Data </w:t>
      </w:r>
      <w:proofErr w:type="spellStart"/>
      <w:r w:rsidRPr="000B7C48">
        <w:rPr>
          <w:lang w:val="pl-PL" w:eastAsia="pl-PL"/>
        </w:rPr>
        <w:t>Acquisition</w:t>
      </w:r>
      <w:proofErr w:type="spellEnd"/>
      <w:r w:rsidRPr="000B7C48">
        <w:rPr>
          <w:lang w:val="pl-PL" w:eastAsia="pl-PL"/>
        </w:rPr>
        <w:t xml:space="preserve"> Using NI-</w:t>
      </w:r>
      <w:proofErr w:type="spellStart"/>
      <w:r w:rsidRPr="000B7C48">
        <w:rPr>
          <w:lang w:val="pl-PL" w:eastAsia="pl-PL"/>
        </w:rPr>
        <w:t>DAQmx</w:t>
      </w:r>
      <w:proofErr w:type="spellEnd"/>
      <w:r w:rsidRPr="000B7C48">
        <w:rPr>
          <w:lang w:val="pl-PL" w:eastAsia="pl-PL"/>
        </w:rPr>
        <w:t xml:space="preserve"> and </w:t>
      </w:r>
      <w:proofErr w:type="spellStart"/>
      <w:r w:rsidRPr="000B7C48">
        <w:rPr>
          <w:lang w:val="pl-PL" w:eastAsia="pl-PL"/>
        </w:rPr>
        <w:t>LabVIEW</w:t>
      </w:r>
      <w:proofErr w:type="spellEnd"/>
      <w:r w:rsidRPr="000B7C48">
        <w:rPr>
          <w:lang w:val="pl-PL" w:eastAsia="pl-PL"/>
        </w:rPr>
        <w:t>.</w:t>
      </w:r>
    </w:p>
    <w:p w:rsidR="00C45DBA" w:rsidRPr="000B7C48" w:rsidRDefault="00C45DBA" w:rsidP="0007464C">
      <w:pPr>
        <w:pStyle w:val="Tekstpodstawowy"/>
        <w:spacing w:after="0"/>
        <w:rPr>
          <w:lang w:val="pl-PL" w:eastAsia="pl-PL"/>
        </w:rPr>
      </w:pPr>
      <w:r w:rsidRPr="000B7C48">
        <w:rPr>
          <w:lang w:val="pl-PL" w:eastAsia="pl-PL"/>
        </w:rPr>
        <w:t>2 x obiad oraz 1 x kolacja w terminie i w miejscu realizacji szkolenia pn.</w:t>
      </w:r>
      <w:r w:rsidRPr="000B7C48">
        <w:t xml:space="preserve"> </w:t>
      </w:r>
      <w:proofErr w:type="spellStart"/>
      <w:r w:rsidRPr="000B7C48">
        <w:rPr>
          <w:lang w:val="pl-PL" w:eastAsia="pl-PL"/>
        </w:rPr>
        <w:t>LabVIEW</w:t>
      </w:r>
      <w:proofErr w:type="spellEnd"/>
      <w:r w:rsidRPr="000B7C48">
        <w:rPr>
          <w:lang w:val="pl-PL" w:eastAsia="pl-PL"/>
        </w:rPr>
        <w:t xml:space="preserve"> </w:t>
      </w:r>
      <w:proofErr w:type="spellStart"/>
      <w:r w:rsidRPr="000B7C48">
        <w:rPr>
          <w:lang w:val="pl-PL" w:eastAsia="pl-PL"/>
        </w:rPr>
        <w:t>Core</w:t>
      </w:r>
      <w:proofErr w:type="spellEnd"/>
      <w:r w:rsidRPr="000B7C48">
        <w:rPr>
          <w:lang w:val="pl-PL" w:eastAsia="pl-PL"/>
        </w:rPr>
        <w:t xml:space="preserve"> 2.</w:t>
      </w:r>
    </w:p>
    <w:p w:rsidR="00C45DBA" w:rsidRPr="000B7C48" w:rsidRDefault="00C45DBA" w:rsidP="0007464C">
      <w:pPr>
        <w:pStyle w:val="Tekstpodstawowy"/>
        <w:spacing w:after="0"/>
        <w:rPr>
          <w:lang w:val="pl-PL" w:eastAsia="pl-PL"/>
        </w:rPr>
      </w:pPr>
      <w:r w:rsidRPr="000B7C48">
        <w:rPr>
          <w:lang w:val="pl-PL" w:eastAsia="pl-PL"/>
        </w:rPr>
        <w:t xml:space="preserve">3 x obiad oraz 2 x kolacja w terminie i w miejscu realizacji szkolenia pn. Developing Test Programs Using </w:t>
      </w:r>
      <w:proofErr w:type="spellStart"/>
      <w:r w:rsidRPr="000B7C48">
        <w:rPr>
          <w:lang w:val="pl-PL" w:eastAsia="pl-PL"/>
        </w:rPr>
        <w:t>TestStand</w:t>
      </w:r>
      <w:proofErr w:type="spellEnd"/>
      <w:r w:rsidRPr="000B7C48">
        <w:rPr>
          <w:lang w:val="pl-PL" w:eastAsia="pl-PL"/>
        </w:rPr>
        <w:t>.</w:t>
      </w:r>
    </w:p>
    <w:p w:rsidR="00C45DBA" w:rsidRPr="000B7C48" w:rsidRDefault="00C45DBA" w:rsidP="0007464C">
      <w:pPr>
        <w:pStyle w:val="Tekstpodstawowy"/>
        <w:spacing w:after="0"/>
        <w:rPr>
          <w:lang w:val="pl-PL" w:eastAsia="pl-PL"/>
        </w:rPr>
      </w:pPr>
      <w:r w:rsidRPr="000B7C48">
        <w:rPr>
          <w:lang w:val="pl-PL" w:eastAsia="pl-PL"/>
        </w:rPr>
        <w:t xml:space="preserve">3 x obiad oraz 2 x kolacja w terminie i w miejscu realizacji szkolenia pn. </w:t>
      </w:r>
      <w:proofErr w:type="spellStart"/>
      <w:r w:rsidRPr="000B7C48">
        <w:rPr>
          <w:lang w:val="pl-PL" w:eastAsia="pl-PL"/>
        </w:rPr>
        <w:t>LabVIEW</w:t>
      </w:r>
      <w:proofErr w:type="spellEnd"/>
      <w:r w:rsidRPr="000B7C48">
        <w:rPr>
          <w:lang w:val="pl-PL" w:eastAsia="pl-PL"/>
        </w:rPr>
        <w:t xml:space="preserve"> Machine </w:t>
      </w:r>
      <w:proofErr w:type="spellStart"/>
      <w:r w:rsidRPr="000B7C48">
        <w:rPr>
          <w:lang w:val="pl-PL" w:eastAsia="pl-PL"/>
        </w:rPr>
        <w:t>Vision</w:t>
      </w:r>
      <w:proofErr w:type="spellEnd"/>
      <w:r w:rsidRPr="000B7C48">
        <w:rPr>
          <w:lang w:val="pl-PL" w:eastAsia="pl-PL"/>
        </w:rPr>
        <w:t>.</w:t>
      </w:r>
    </w:p>
    <w:p w:rsidR="00C45DBA" w:rsidRPr="000B7C48" w:rsidRDefault="00C45DBA" w:rsidP="0007464C">
      <w:pPr>
        <w:pStyle w:val="Tekstpodstawowy"/>
        <w:spacing w:after="0"/>
        <w:rPr>
          <w:lang w:val="pl-PL" w:eastAsia="pl-PL"/>
        </w:rPr>
      </w:pPr>
    </w:p>
    <w:p w:rsidR="00C45DBA" w:rsidRPr="000B7C48" w:rsidRDefault="00C45DBA" w:rsidP="0007464C">
      <w:pPr>
        <w:pStyle w:val="Tekstpodstawowy"/>
        <w:spacing w:after="0"/>
        <w:rPr>
          <w:lang w:val="pl-PL" w:eastAsia="pl-PL"/>
        </w:rPr>
      </w:pPr>
      <w:r w:rsidRPr="000B7C48">
        <w:rPr>
          <w:lang w:val="pl-PL" w:eastAsia="pl-PL"/>
        </w:rPr>
        <w:t>- przerwy kawowe: kruche ciastka/paluszki/krakersy, gorące i zimne napoje (kawa, herbata, soki, woda), mleko, cukier, cytryna do herbaty w czasie prowadzenia zajęć szkoleniowych. Przerwa kawowa powinna być ciągła - dostępna w trakcie trwania zajęć szkoleniowych. Przerwę kawową wraz z urządzaniami do jej wydania należy zorganizować w miejscu odbywania się szkolenia.</w:t>
      </w:r>
    </w:p>
    <w:p w:rsidR="00C45DBA" w:rsidRPr="000B7C48" w:rsidRDefault="00C45DBA" w:rsidP="0007464C">
      <w:pPr>
        <w:pStyle w:val="Tekstpodstawowy"/>
        <w:spacing w:after="0"/>
        <w:rPr>
          <w:b/>
          <w:lang w:val="pl-PL" w:eastAsia="pl-PL"/>
        </w:rPr>
      </w:pPr>
      <w:r w:rsidRPr="000B7C48">
        <w:rPr>
          <w:b/>
          <w:lang w:val="pl-PL" w:eastAsia="pl-PL"/>
        </w:rPr>
        <w:t>Obiad/y</w:t>
      </w:r>
    </w:p>
    <w:p w:rsidR="00C45DBA" w:rsidRPr="000B7C48" w:rsidRDefault="00C45DBA" w:rsidP="0007464C">
      <w:pPr>
        <w:pStyle w:val="Tekstpodstawowy"/>
        <w:spacing w:after="0"/>
        <w:rPr>
          <w:lang w:val="pl-PL" w:eastAsia="pl-PL"/>
        </w:rPr>
      </w:pPr>
      <w:r w:rsidRPr="000B7C48">
        <w:rPr>
          <w:lang w:val="pl-PL" w:eastAsia="pl-PL"/>
        </w:rPr>
        <w:t xml:space="preserve">Sugerowane menu dwudaniowe (do wyboru przez studenta): </w:t>
      </w:r>
    </w:p>
    <w:p w:rsidR="00C45DBA" w:rsidRPr="000B7C48" w:rsidRDefault="00C45DBA" w:rsidP="0007464C">
      <w:pPr>
        <w:pStyle w:val="Tekstpodstawowy"/>
        <w:spacing w:after="0"/>
        <w:rPr>
          <w:lang w:val="pl-PL" w:eastAsia="pl-PL"/>
        </w:rPr>
      </w:pPr>
      <w:r w:rsidRPr="000B7C48">
        <w:rPr>
          <w:lang w:val="pl-PL" w:eastAsia="pl-PL"/>
        </w:rPr>
        <w:t>I danie - zupa (np. rosół, pomidorowa, ogórkowa, grzybowa, krupnik)</w:t>
      </w:r>
    </w:p>
    <w:p w:rsidR="00C45DBA" w:rsidRPr="000B7C48" w:rsidRDefault="00C45DBA" w:rsidP="0007464C">
      <w:pPr>
        <w:pStyle w:val="Tekstpodstawowy"/>
        <w:spacing w:after="0"/>
        <w:rPr>
          <w:lang w:val="pl-PL" w:eastAsia="pl-PL"/>
        </w:rPr>
      </w:pPr>
      <w:r w:rsidRPr="000B7C48">
        <w:rPr>
          <w:lang w:val="pl-PL" w:eastAsia="pl-PL"/>
        </w:rPr>
        <w:t xml:space="preserve">II danie - ziemniaki (np. </w:t>
      </w:r>
      <w:proofErr w:type="spellStart"/>
      <w:r w:rsidRPr="000B7C48">
        <w:rPr>
          <w:lang w:val="pl-PL" w:eastAsia="pl-PL"/>
        </w:rPr>
        <w:t>pure</w:t>
      </w:r>
      <w:proofErr w:type="spellEnd"/>
      <w:r w:rsidRPr="000B7C48">
        <w:rPr>
          <w:lang w:val="pl-PL" w:eastAsia="pl-PL"/>
        </w:rPr>
        <w:t>, frytki)/kasza/ryż, porcja mięsa, w przypadku obiadu w piątek sugerowana także ryba lub inny posiłek bezmięsny (np. pierogi, krokiety, kluski leniwe, makaron) wedle wyboru osób szkolonych.</w:t>
      </w:r>
    </w:p>
    <w:p w:rsidR="00C45DBA" w:rsidRPr="000B7C48" w:rsidRDefault="00C45DBA" w:rsidP="0007464C">
      <w:pPr>
        <w:pStyle w:val="Tekstpodstawowy"/>
        <w:spacing w:after="0"/>
        <w:rPr>
          <w:lang w:val="pl-PL" w:eastAsia="pl-PL"/>
        </w:rPr>
      </w:pPr>
      <w:r w:rsidRPr="000B7C48">
        <w:rPr>
          <w:lang w:val="pl-PL" w:eastAsia="pl-PL"/>
        </w:rPr>
        <w:t>Zestaw surówek/gotowane warzywa/sałatki.</w:t>
      </w:r>
    </w:p>
    <w:p w:rsidR="00C45DBA" w:rsidRPr="000B7C48" w:rsidRDefault="00C45DBA" w:rsidP="0007464C">
      <w:pPr>
        <w:pStyle w:val="Tekstpodstawowy"/>
        <w:spacing w:after="0"/>
        <w:rPr>
          <w:lang w:val="pl-PL" w:eastAsia="pl-PL"/>
        </w:rPr>
      </w:pPr>
      <w:r w:rsidRPr="000B7C48">
        <w:rPr>
          <w:lang w:val="pl-PL" w:eastAsia="pl-PL"/>
        </w:rPr>
        <w:t>Kompot, kawa, herbata, sok, woda mineralna (do wyboru)</w:t>
      </w:r>
    </w:p>
    <w:p w:rsidR="00C45DBA" w:rsidRPr="000B7C48" w:rsidRDefault="00C45DBA" w:rsidP="0007464C">
      <w:pPr>
        <w:pStyle w:val="Tekstpodstawowy"/>
        <w:spacing w:after="0"/>
        <w:rPr>
          <w:b/>
          <w:lang w:val="pl-PL" w:eastAsia="pl-PL"/>
        </w:rPr>
      </w:pPr>
      <w:r w:rsidRPr="000B7C48">
        <w:rPr>
          <w:b/>
          <w:lang w:val="pl-PL" w:eastAsia="pl-PL"/>
        </w:rPr>
        <w:t xml:space="preserve">Kolacja/e  </w:t>
      </w:r>
    </w:p>
    <w:p w:rsidR="00C45DBA" w:rsidRPr="000B7C48" w:rsidRDefault="00C45DBA" w:rsidP="00C651B4">
      <w:pPr>
        <w:pStyle w:val="Tekstpodstawowy"/>
        <w:jc w:val="both"/>
        <w:rPr>
          <w:lang w:val="pl-PL" w:eastAsia="pl-PL"/>
        </w:rPr>
      </w:pPr>
      <w:r w:rsidRPr="000B7C48">
        <w:rPr>
          <w:lang w:val="pl-PL" w:eastAsia="pl-PL"/>
        </w:rPr>
        <w:t>Dla każdego studenta zestaw kolacyjny (do wyboru): pieczywo mieszane, wędlina, ser żółty/biały, ogórek, pomidor, papryka, masło, jajko, parówki.</w:t>
      </w:r>
    </w:p>
    <w:p w:rsidR="00C45DBA" w:rsidRPr="000B7C48" w:rsidRDefault="00C45DBA" w:rsidP="00C651B4">
      <w:pPr>
        <w:pStyle w:val="Tekstpodstawowy"/>
        <w:spacing w:after="0"/>
        <w:rPr>
          <w:lang w:val="pl-PL" w:eastAsia="pl-PL"/>
        </w:rPr>
      </w:pPr>
      <w:r w:rsidRPr="000B7C48">
        <w:rPr>
          <w:lang w:val="pl-PL" w:eastAsia="pl-PL"/>
        </w:rPr>
        <w:t>Kawa, herbata, soki, woda, cukier, cytryna do herbaty</w:t>
      </w:r>
    </w:p>
    <w:p w:rsidR="00C45DBA" w:rsidRPr="000B7C48" w:rsidRDefault="00C45DBA" w:rsidP="0007464C">
      <w:pPr>
        <w:pStyle w:val="Tekstpodstawowy"/>
        <w:spacing w:after="0"/>
        <w:rPr>
          <w:b/>
          <w:lang w:val="pl-PL" w:eastAsia="pl-PL"/>
        </w:rPr>
      </w:pPr>
    </w:p>
    <w:p w:rsidR="00C45DBA" w:rsidRPr="000B7C48" w:rsidRDefault="00C45DBA" w:rsidP="0007464C">
      <w:pPr>
        <w:pStyle w:val="Tekstpodstawowy"/>
        <w:spacing w:after="0"/>
        <w:rPr>
          <w:b/>
          <w:lang w:val="pl-PL" w:eastAsia="pl-PL"/>
        </w:rPr>
      </w:pPr>
      <w:r w:rsidRPr="000B7C48">
        <w:rPr>
          <w:b/>
          <w:lang w:val="pl-PL" w:eastAsia="pl-PL"/>
        </w:rPr>
        <w:t>3. USŁUGA SZKOLENIOWA</w:t>
      </w:r>
    </w:p>
    <w:p w:rsidR="00C45DBA" w:rsidRPr="000B7C48" w:rsidRDefault="00C45DBA" w:rsidP="0007464C">
      <w:pPr>
        <w:pStyle w:val="Tekstpodstawowy"/>
        <w:spacing w:after="0"/>
        <w:rPr>
          <w:color w:val="000000" w:themeColor="text1"/>
          <w:lang w:val="pl-PL" w:eastAsia="pl-PL"/>
        </w:rPr>
      </w:pPr>
      <w:r w:rsidRPr="000B7C48">
        <w:rPr>
          <w:b/>
          <w:color w:val="000000" w:themeColor="text1"/>
          <w:lang w:val="pl-PL" w:eastAsia="pl-PL"/>
        </w:rPr>
        <w:t xml:space="preserve">Wspólny Słownik Zamówień: </w:t>
      </w:r>
      <w:r w:rsidRPr="000B7C48">
        <w:rPr>
          <w:color w:val="000000" w:themeColor="text1"/>
          <w:lang w:val="pl-PL" w:eastAsia="pl-PL"/>
        </w:rPr>
        <w:t xml:space="preserve">80500000-9 - Usługi szkoleniowe </w:t>
      </w:r>
    </w:p>
    <w:p w:rsidR="00C45DBA" w:rsidRPr="000B7C48" w:rsidRDefault="00C45DBA" w:rsidP="0007464C">
      <w:pPr>
        <w:pStyle w:val="Tekstpodstawowy"/>
        <w:spacing w:after="0"/>
        <w:rPr>
          <w:b/>
          <w:lang w:val="pl-PL" w:eastAsia="pl-PL"/>
        </w:rPr>
      </w:pPr>
      <w:r w:rsidRPr="000B7C48">
        <w:rPr>
          <w:b/>
          <w:lang w:val="pl-PL" w:eastAsia="pl-PL"/>
        </w:rPr>
        <w:t>Opis szczegółowy szkoleń:</w:t>
      </w:r>
    </w:p>
    <w:p w:rsidR="00C45DBA" w:rsidRPr="000B7C48" w:rsidRDefault="00C45DBA" w:rsidP="0007464C">
      <w:pPr>
        <w:pStyle w:val="Tekstpodstawowy"/>
        <w:spacing w:after="0"/>
        <w:rPr>
          <w:lang w:val="pl-PL" w:eastAsia="pl-PL"/>
        </w:rPr>
      </w:pPr>
      <w:r w:rsidRPr="000B7C48">
        <w:rPr>
          <w:lang w:val="pl-PL" w:eastAsia="pl-PL"/>
        </w:rPr>
        <w:t xml:space="preserve">Szkolenia należy przeprowadzić w okresie </w:t>
      </w:r>
      <w:r w:rsidRPr="000B7C48">
        <w:rPr>
          <w:b/>
          <w:lang w:val="pl-PL" w:eastAsia="pl-PL"/>
        </w:rPr>
        <w:t xml:space="preserve">od </w:t>
      </w:r>
      <w:r w:rsidR="00464FD9">
        <w:rPr>
          <w:b/>
          <w:lang w:val="pl-PL" w:eastAsia="pl-PL"/>
        </w:rPr>
        <w:t>24</w:t>
      </w:r>
      <w:r w:rsidRPr="000B7C48">
        <w:rPr>
          <w:b/>
          <w:lang w:val="pl-PL" w:eastAsia="pl-PL"/>
        </w:rPr>
        <w:t>.0</w:t>
      </w:r>
      <w:r w:rsidR="00464FD9">
        <w:rPr>
          <w:b/>
          <w:lang w:val="pl-PL" w:eastAsia="pl-PL"/>
        </w:rPr>
        <w:t>4</w:t>
      </w:r>
      <w:r w:rsidRPr="000B7C48">
        <w:rPr>
          <w:b/>
          <w:lang w:val="pl-PL" w:eastAsia="pl-PL"/>
        </w:rPr>
        <w:t>.2019 r. do 30.06.2019 r.</w:t>
      </w:r>
      <w:r w:rsidRPr="000B7C48">
        <w:rPr>
          <w:lang w:val="pl-PL" w:eastAsia="pl-PL"/>
        </w:rPr>
        <w:t xml:space="preserve"> dla grupy 10 studentów studiów stacjonarnych II stopnia, kierunek elektronika i telekomunikacja. Dokładny termin do uzgodnienia z Zamawiającym.</w:t>
      </w:r>
    </w:p>
    <w:p w:rsidR="00C45DBA" w:rsidRPr="000B7C48" w:rsidRDefault="00C45DBA" w:rsidP="0007464C">
      <w:pPr>
        <w:pStyle w:val="Tekstpodstawowy"/>
        <w:spacing w:after="0"/>
        <w:rPr>
          <w:lang w:val="pl-PL" w:eastAsia="pl-PL"/>
        </w:rPr>
      </w:pPr>
      <w:r w:rsidRPr="000B7C48">
        <w:rPr>
          <w:lang w:val="pl-PL" w:eastAsia="pl-PL"/>
        </w:rPr>
        <w:t>Zamawiający przedłoży Wykonawcy listę studentów zakwalifikowanych na szkolenie.</w:t>
      </w:r>
    </w:p>
    <w:p w:rsidR="00C45DBA" w:rsidRPr="00464FD9" w:rsidRDefault="00C45DBA" w:rsidP="0007464C">
      <w:pPr>
        <w:pStyle w:val="Tekstpodstawowy"/>
        <w:spacing w:after="0"/>
        <w:rPr>
          <w:sz w:val="16"/>
          <w:szCs w:val="16"/>
          <w:lang w:val="pl-PL" w:eastAsia="pl-PL"/>
        </w:rPr>
      </w:pPr>
    </w:p>
    <w:p w:rsidR="00C45DBA" w:rsidRPr="000B7C48" w:rsidRDefault="00C45DBA" w:rsidP="0007464C">
      <w:pPr>
        <w:pStyle w:val="Tekstpodstawowy"/>
        <w:spacing w:after="0"/>
        <w:jc w:val="both"/>
        <w:rPr>
          <w:lang w:val="pl-PL" w:eastAsia="pl-PL"/>
        </w:rPr>
      </w:pPr>
      <w:r w:rsidRPr="000B7C48">
        <w:rPr>
          <w:lang w:val="pl-PL" w:eastAsia="pl-PL"/>
        </w:rPr>
        <w:t>Szkolenia powinny zostać przeprowadzone w formie wykładów oraz warsztatów (zajęć praktycznych), podczas których studenci poznają zagadnienia wedle specyfikacji.</w:t>
      </w:r>
    </w:p>
    <w:p w:rsidR="00C45DBA" w:rsidRPr="000B7C48" w:rsidRDefault="00C45DBA" w:rsidP="0007464C">
      <w:pPr>
        <w:pStyle w:val="Tekstpodstawowy"/>
        <w:spacing w:after="0"/>
        <w:rPr>
          <w:lang w:val="pl-PL" w:eastAsia="pl-PL"/>
        </w:rPr>
      </w:pPr>
    </w:p>
    <w:p w:rsidR="00C45DBA" w:rsidRPr="000B7C48" w:rsidRDefault="00C45DBA" w:rsidP="0007464C">
      <w:pPr>
        <w:pStyle w:val="Tekstpodstawowy"/>
        <w:numPr>
          <w:ilvl w:val="0"/>
          <w:numId w:val="1"/>
        </w:numPr>
        <w:spacing w:after="0"/>
        <w:rPr>
          <w:lang w:val="en-US"/>
        </w:rPr>
      </w:pPr>
      <w:proofErr w:type="spellStart"/>
      <w:r w:rsidRPr="000B7C48">
        <w:t>LabVIEW</w:t>
      </w:r>
      <w:proofErr w:type="spellEnd"/>
      <w:r w:rsidRPr="000B7C48">
        <w:t xml:space="preserve"> </w:t>
      </w:r>
      <w:proofErr w:type="spellStart"/>
      <w:r w:rsidRPr="000B7C48">
        <w:t>Core</w:t>
      </w:r>
      <w:proofErr w:type="spellEnd"/>
      <w:r w:rsidRPr="000B7C48">
        <w:t xml:space="preserve"> 1</w:t>
      </w:r>
      <w:r w:rsidRPr="000B7C48">
        <w:rPr>
          <w:lang w:val="en-US"/>
        </w:rPr>
        <w:t xml:space="preserve">,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Używanie </w:t>
      </w:r>
      <w:proofErr w:type="spellStart"/>
      <w:r w:rsidRPr="000B7C48">
        <w:rPr>
          <w:rFonts w:ascii="Times New Roman" w:hAnsi="Times New Roman" w:cs="Times New Roman"/>
        </w:rPr>
        <w:t>LabVIEW</w:t>
      </w:r>
      <w:proofErr w:type="spellEnd"/>
      <w:r w:rsidRPr="000B7C48">
        <w:rPr>
          <w:rFonts w:ascii="Times New Roman" w:hAnsi="Times New Roman" w:cs="Times New Roman"/>
        </w:rPr>
        <w:t xml:space="preserve"> do akwizycji, analizy oraz prezentacji danych.</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Tworzenie interfejsów użytkownika.</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Sprawne wykorzystywania struktur danych oraz </w:t>
      </w:r>
      <w:proofErr w:type="spellStart"/>
      <w:r w:rsidRPr="000B7C48">
        <w:rPr>
          <w:rFonts w:ascii="Times New Roman" w:hAnsi="Times New Roman" w:cs="Times New Roman"/>
        </w:rPr>
        <w:t>architektur</w:t>
      </w:r>
      <w:proofErr w:type="spellEnd"/>
      <w:r w:rsidRPr="000B7C48">
        <w:rPr>
          <w:rFonts w:ascii="Times New Roman" w:hAnsi="Times New Roman" w:cs="Times New Roman"/>
        </w:rPr>
        <w:t xml:space="preserve"> programistycznych występujących w </w:t>
      </w:r>
      <w:proofErr w:type="spellStart"/>
      <w:r w:rsidRPr="000B7C48">
        <w:rPr>
          <w:rFonts w:ascii="Times New Roman" w:hAnsi="Times New Roman" w:cs="Times New Roman"/>
        </w:rPr>
        <w:t>LabVIEW</w:t>
      </w:r>
      <w:proofErr w:type="spellEnd"/>
      <w:r w:rsidRPr="000B7C48">
        <w:rPr>
          <w:rFonts w:ascii="Times New Roman" w:hAnsi="Times New Roman" w:cs="Times New Roman"/>
        </w:rPr>
        <w:t>.</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Techniki edycji oraz testowania aplikacji.</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Tworzenie własnych podprogramów.</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Obsługa plików.</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Tworzenie aplikacji wykorzystujących karty akwizycji danych (DAQ).</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lastRenderedPageBreak/>
        <w:t>Tworzenie aplikacji wykorzystujących urządzenia GPIB i urządzenia podłączane do portu szeregowego.</w:t>
      </w:r>
    </w:p>
    <w:p w:rsidR="00C45DBA" w:rsidRPr="000B7C48" w:rsidRDefault="00C45DBA" w:rsidP="0007464C">
      <w:pPr>
        <w:pStyle w:val="Tekstpodstawowy"/>
        <w:spacing w:after="0"/>
        <w:rPr>
          <w:color w:val="000000" w:themeColor="text1"/>
          <w:lang w:val="pl-PL"/>
        </w:rPr>
      </w:pPr>
      <w:r w:rsidRPr="000B7C48">
        <w:rPr>
          <w:color w:val="000000" w:themeColor="text1"/>
          <w:lang w:val="pl-PL"/>
        </w:rPr>
        <w:t>Szkolenie powinno trwać min 24 godziny szkoleniowe, nie mniej niż 3 dni.</w:t>
      </w:r>
    </w:p>
    <w:p w:rsidR="00C45DBA" w:rsidRPr="000B7C48" w:rsidRDefault="00C45DBA" w:rsidP="0007464C">
      <w:pPr>
        <w:pStyle w:val="Tekstpodstawowy"/>
        <w:spacing w:after="0"/>
        <w:rPr>
          <w:color w:val="FF0000"/>
          <w:lang w:val="pl-PL"/>
        </w:rPr>
      </w:pPr>
    </w:p>
    <w:p w:rsidR="00C45DBA" w:rsidRPr="000B7C48" w:rsidRDefault="00C45DBA" w:rsidP="0007464C">
      <w:pPr>
        <w:pStyle w:val="Tekstpodstawowy"/>
        <w:numPr>
          <w:ilvl w:val="0"/>
          <w:numId w:val="1"/>
        </w:numPr>
        <w:spacing w:after="0"/>
        <w:rPr>
          <w:lang w:val="en-US"/>
        </w:rPr>
      </w:pPr>
      <w:r w:rsidRPr="000B7C48">
        <w:t xml:space="preserve">Data </w:t>
      </w:r>
      <w:proofErr w:type="spellStart"/>
      <w:r w:rsidRPr="000B7C48">
        <w:t>Acquisition</w:t>
      </w:r>
      <w:proofErr w:type="spellEnd"/>
      <w:r w:rsidRPr="000B7C48">
        <w:t xml:space="preserve"> Using NI-</w:t>
      </w:r>
      <w:proofErr w:type="spellStart"/>
      <w:r w:rsidRPr="000B7C48">
        <w:t>DAQmx</w:t>
      </w:r>
      <w:proofErr w:type="spellEnd"/>
      <w:r w:rsidRPr="000B7C48">
        <w:t xml:space="preserve"> and </w:t>
      </w:r>
      <w:proofErr w:type="spellStart"/>
      <w:r w:rsidRPr="000B7C48">
        <w:t>LabVIEW</w:t>
      </w:r>
      <w:proofErr w:type="spellEnd"/>
      <w:r w:rsidRPr="000B7C48">
        <w:rPr>
          <w:lang w:val="en-US"/>
        </w:rPr>
        <w:t xml:space="preserve">,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Tworzenie optymalnych i precyzyjnych systemów akwizycji danych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Poprawne łączenie przetworników, takich jak termoelementy czy przetworniki </w:t>
      </w:r>
      <w:proofErr w:type="spellStart"/>
      <w:r w:rsidRPr="000B7C48">
        <w:rPr>
          <w:rFonts w:ascii="Times New Roman" w:hAnsi="Times New Roman" w:cs="Times New Roman"/>
        </w:rPr>
        <w:t>naprężeń</w:t>
      </w:r>
      <w:proofErr w:type="spellEnd"/>
      <w:r w:rsidRPr="000B7C48">
        <w:rPr>
          <w:rFonts w:ascii="Times New Roman" w:hAnsi="Times New Roman" w:cs="Times New Roman"/>
        </w:rPr>
        <w:t>, do sprzętu pomiarowego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Korzystanie z zaawansowanych funkcji </w:t>
      </w:r>
      <w:proofErr w:type="spellStart"/>
      <w:r w:rsidRPr="000B7C48">
        <w:rPr>
          <w:rFonts w:ascii="Times New Roman" w:hAnsi="Times New Roman" w:cs="Times New Roman"/>
        </w:rPr>
        <w:t>LabVIEW</w:t>
      </w:r>
      <w:proofErr w:type="spellEnd"/>
      <w:r w:rsidRPr="000B7C48">
        <w:rPr>
          <w:rFonts w:ascii="Times New Roman" w:hAnsi="Times New Roman" w:cs="Times New Roman"/>
        </w:rPr>
        <w:t xml:space="preserve"> oraz API NI-</w:t>
      </w:r>
      <w:proofErr w:type="spellStart"/>
      <w:r w:rsidRPr="000B7C48">
        <w:rPr>
          <w:rFonts w:ascii="Times New Roman" w:hAnsi="Times New Roman" w:cs="Times New Roman"/>
        </w:rPr>
        <w:t>DAQmx</w:t>
      </w:r>
      <w:proofErr w:type="spellEnd"/>
      <w:r w:rsidRPr="000B7C48">
        <w:rPr>
          <w:rFonts w:ascii="Times New Roman" w:hAnsi="Times New Roman" w:cs="Times New Roman"/>
        </w:rPr>
        <w:t>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Eliminacja błędów pomiarowych wynikających ze zbyt małej częstotliwości próbkowania oraz niepoprawnego połączenia mas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Uruchamianie stanowisk pomiarowych przy użyciu sprzętowego i programowego wyzwalania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Tworzenie systemów mierzących: wypełnienie, częstotliwość oraz pozycję przy użyciu liczników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Generacja ciągłych i pojedynczych przebiegów czasowych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Synchronizacja wielu operacji I urządzeń.</w:t>
      </w:r>
    </w:p>
    <w:p w:rsidR="00C45DBA" w:rsidRPr="000B7C48" w:rsidRDefault="00C45DBA" w:rsidP="0007464C">
      <w:pPr>
        <w:pStyle w:val="Tekstpodstawowy"/>
        <w:spacing w:after="0"/>
        <w:rPr>
          <w:color w:val="000000" w:themeColor="text1"/>
          <w:lang w:val="pl-PL"/>
        </w:rPr>
      </w:pPr>
      <w:r w:rsidRPr="000B7C48">
        <w:rPr>
          <w:color w:val="000000" w:themeColor="text1"/>
          <w:lang w:val="pl-PL"/>
        </w:rPr>
        <w:t>Szkolenie powinno trwać min 16 godzin szkoleniowych, nie mniej niż 2 dni.</w:t>
      </w:r>
    </w:p>
    <w:p w:rsidR="00C45DBA" w:rsidRPr="000B7C48" w:rsidRDefault="00C45DBA" w:rsidP="0007464C">
      <w:pPr>
        <w:pStyle w:val="Tekstpodstawowy"/>
        <w:spacing w:after="0"/>
        <w:rPr>
          <w:color w:val="FF0000"/>
          <w:lang w:val="pl-PL"/>
        </w:rPr>
      </w:pPr>
    </w:p>
    <w:p w:rsidR="00C45DBA" w:rsidRPr="000B7C48" w:rsidRDefault="00C45DBA" w:rsidP="0007464C">
      <w:pPr>
        <w:pStyle w:val="Tekstpodstawowy"/>
        <w:numPr>
          <w:ilvl w:val="0"/>
          <w:numId w:val="1"/>
        </w:numPr>
        <w:spacing w:after="0"/>
        <w:rPr>
          <w:lang w:val="en-US"/>
        </w:rPr>
      </w:pPr>
      <w:proofErr w:type="spellStart"/>
      <w:r w:rsidRPr="000B7C48">
        <w:t>LabVIEW</w:t>
      </w:r>
      <w:proofErr w:type="spellEnd"/>
      <w:r w:rsidRPr="000B7C48">
        <w:t xml:space="preserve"> </w:t>
      </w:r>
      <w:proofErr w:type="spellStart"/>
      <w:r w:rsidRPr="000B7C48">
        <w:t>Core</w:t>
      </w:r>
      <w:proofErr w:type="spellEnd"/>
      <w:r w:rsidRPr="000B7C48">
        <w:t xml:space="preserve"> 2</w:t>
      </w:r>
      <w:r w:rsidRPr="000B7C48">
        <w:rPr>
          <w:lang w:val="en-US"/>
        </w:rPr>
        <w:t xml:space="preserve">,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Stosowanie szablonów aplikacji zawierających wiele pętli.</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Wykorzystanie struktury obsługi zdarzeń.</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Programowe sterowanie elementami interfejsu użytkownika.</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Obsługa plików binarnych.</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Tworzenie optymalnego kodu.</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Korzystanie z </w:t>
      </w:r>
      <w:proofErr w:type="spellStart"/>
      <w:r w:rsidRPr="000B7C48">
        <w:rPr>
          <w:rFonts w:ascii="Times New Roman" w:hAnsi="Times New Roman" w:cs="Times New Roman"/>
        </w:rPr>
        <w:t>LabVIEW</w:t>
      </w:r>
      <w:proofErr w:type="spellEnd"/>
      <w:r w:rsidRPr="000B7C48">
        <w:rPr>
          <w:rFonts w:ascii="Times New Roman" w:hAnsi="Times New Roman" w:cs="Times New Roman"/>
        </w:rPr>
        <w:t xml:space="preserve"> Application Builder i tworzenie plików wykonywalnych oraz instalacyjnych; dystrybucji aplikacji.</w:t>
      </w:r>
    </w:p>
    <w:p w:rsidR="00C45DBA" w:rsidRPr="000B7C48" w:rsidRDefault="00C45DBA" w:rsidP="0007464C">
      <w:pPr>
        <w:pStyle w:val="Tekstpodstawowy"/>
        <w:spacing w:after="0"/>
        <w:rPr>
          <w:color w:val="000000" w:themeColor="text1"/>
          <w:lang w:val="pl-PL"/>
        </w:rPr>
      </w:pPr>
      <w:r w:rsidRPr="000B7C48">
        <w:rPr>
          <w:color w:val="000000" w:themeColor="text1"/>
          <w:lang w:val="pl-PL"/>
        </w:rPr>
        <w:t>Szkolenie powinno trwać min 16 godzin szkoleniowych, nie mniej niż 2 dni.</w:t>
      </w:r>
    </w:p>
    <w:p w:rsidR="00C45DBA" w:rsidRPr="000B7C48" w:rsidRDefault="00C45DBA" w:rsidP="0007464C">
      <w:pPr>
        <w:pStyle w:val="Tekstpodstawowy"/>
        <w:spacing w:after="0"/>
        <w:rPr>
          <w:color w:val="FF0000"/>
          <w:lang w:val="pl-PL"/>
        </w:rPr>
      </w:pPr>
    </w:p>
    <w:p w:rsidR="00C45DBA" w:rsidRPr="000B7C48" w:rsidRDefault="00C45DBA" w:rsidP="0007464C">
      <w:pPr>
        <w:pStyle w:val="Tekstpodstawowy"/>
        <w:numPr>
          <w:ilvl w:val="0"/>
          <w:numId w:val="1"/>
        </w:numPr>
        <w:spacing w:after="0"/>
        <w:rPr>
          <w:lang w:val="en-US"/>
        </w:rPr>
      </w:pPr>
      <w:r w:rsidRPr="000B7C48">
        <w:t xml:space="preserve">Developing Test Programs Using </w:t>
      </w:r>
      <w:proofErr w:type="spellStart"/>
      <w:r w:rsidRPr="000B7C48">
        <w:t>TestStand</w:t>
      </w:r>
      <w:proofErr w:type="spellEnd"/>
      <w:r w:rsidRPr="000B7C48">
        <w:rPr>
          <w:lang w:val="en-US"/>
        </w:rPr>
        <w:t xml:space="preserve">,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Tworzenie aplikacji testujących w środowisku </w:t>
      </w:r>
      <w:proofErr w:type="spellStart"/>
      <w:r w:rsidRPr="000B7C48">
        <w:rPr>
          <w:rFonts w:ascii="Times New Roman" w:hAnsi="Times New Roman" w:cs="Times New Roman"/>
        </w:rPr>
        <w:t>TestStand</w:t>
      </w:r>
      <w:proofErr w:type="spellEnd"/>
      <w:r w:rsidRPr="000B7C48">
        <w:rPr>
          <w:rFonts w:ascii="Times New Roman" w:hAnsi="Times New Roman" w:cs="Times New Roman"/>
        </w:rPr>
        <w:t xml:space="preserve"> oraz ich dystrybucja na stacje testowe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Tworzenie kodu i interfejsu dla środowiska </w:t>
      </w:r>
      <w:proofErr w:type="spellStart"/>
      <w:r w:rsidRPr="000B7C48">
        <w:rPr>
          <w:rFonts w:ascii="Times New Roman" w:hAnsi="Times New Roman" w:cs="Times New Roman"/>
        </w:rPr>
        <w:t>TestStand</w:t>
      </w:r>
      <w:proofErr w:type="spellEnd"/>
      <w:r w:rsidRPr="000B7C48">
        <w:rPr>
          <w:rFonts w:ascii="Times New Roman" w:hAnsi="Times New Roman" w:cs="Times New Roman"/>
        </w:rPr>
        <w:t>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Wykorzystywanie funkcji debugowania środowiska </w:t>
      </w:r>
      <w:proofErr w:type="spellStart"/>
      <w:r w:rsidRPr="000B7C48">
        <w:rPr>
          <w:rFonts w:ascii="Times New Roman" w:hAnsi="Times New Roman" w:cs="Times New Roman"/>
        </w:rPr>
        <w:t>TestStand</w:t>
      </w:r>
      <w:proofErr w:type="spellEnd"/>
      <w:r w:rsidRPr="000B7C48">
        <w:rPr>
          <w:rFonts w:ascii="Times New Roman" w:hAnsi="Times New Roman" w:cs="Times New Roman"/>
        </w:rPr>
        <w:t>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Konfiguracja środowiska </w:t>
      </w:r>
      <w:proofErr w:type="spellStart"/>
      <w:r w:rsidRPr="000B7C48">
        <w:rPr>
          <w:rFonts w:ascii="Times New Roman" w:hAnsi="Times New Roman" w:cs="Times New Roman"/>
        </w:rPr>
        <w:t>TestStand</w:t>
      </w:r>
      <w:proofErr w:type="spellEnd"/>
      <w:r w:rsidRPr="000B7C48">
        <w:rPr>
          <w:rFonts w:ascii="Times New Roman" w:hAnsi="Times New Roman" w:cs="Times New Roman"/>
        </w:rPr>
        <w:t xml:space="preserve"> przy wykorzystaniu okien dialogowych oraz dostosowywania uprawnień użytkowników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 xml:space="preserve">Współdzielenie danych między </w:t>
      </w:r>
      <w:proofErr w:type="spellStart"/>
      <w:r w:rsidRPr="000B7C48">
        <w:rPr>
          <w:rFonts w:ascii="Times New Roman" w:hAnsi="Times New Roman" w:cs="Times New Roman"/>
        </w:rPr>
        <w:t>TestStand</w:t>
      </w:r>
      <w:proofErr w:type="spellEnd"/>
      <w:r w:rsidRPr="000B7C48">
        <w:rPr>
          <w:rFonts w:ascii="Times New Roman" w:hAnsi="Times New Roman" w:cs="Times New Roman"/>
        </w:rPr>
        <w:t xml:space="preserve"> a </w:t>
      </w:r>
      <w:proofErr w:type="spellStart"/>
      <w:r w:rsidRPr="000B7C48">
        <w:rPr>
          <w:rFonts w:ascii="Times New Roman" w:hAnsi="Times New Roman" w:cs="Times New Roman"/>
        </w:rPr>
        <w:t>LabVIEW</w:t>
      </w:r>
      <w:proofErr w:type="spellEnd"/>
      <w:r w:rsidRPr="000B7C48">
        <w:rPr>
          <w:rFonts w:ascii="Times New Roman" w:hAnsi="Times New Roman" w:cs="Times New Roman"/>
        </w:rPr>
        <w:t xml:space="preserve"> lub </w:t>
      </w:r>
      <w:proofErr w:type="spellStart"/>
      <w:r w:rsidRPr="000B7C48">
        <w:rPr>
          <w:rFonts w:ascii="Times New Roman" w:hAnsi="Times New Roman" w:cs="Times New Roman"/>
        </w:rPr>
        <w:t>LabWindows</w:t>
      </w:r>
      <w:proofErr w:type="spellEnd"/>
      <w:r w:rsidRPr="000B7C48">
        <w:rPr>
          <w:rFonts w:ascii="Times New Roman" w:hAnsi="Times New Roman" w:cs="Times New Roman"/>
        </w:rPr>
        <w:t>/CVI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Rozumienie zasad funkcjonowania aplikacji testującej </w:t>
      </w:r>
    </w:p>
    <w:p w:rsidR="00C45DBA" w:rsidRPr="000B7C48" w:rsidRDefault="00C45DBA" w:rsidP="0007464C">
      <w:pPr>
        <w:numPr>
          <w:ilvl w:val="1"/>
          <w:numId w:val="1"/>
        </w:numPr>
        <w:shd w:val="clear" w:color="auto" w:fill="FFFFFF"/>
        <w:spacing w:after="90" w:line="225" w:lineRule="atLeast"/>
        <w:rPr>
          <w:rFonts w:ascii="Times New Roman" w:hAnsi="Times New Roman" w:cs="Times New Roman"/>
        </w:rPr>
      </w:pPr>
      <w:r w:rsidRPr="000B7C48">
        <w:rPr>
          <w:rFonts w:ascii="Times New Roman" w:hAnsi="Times New Roman" w:cs="Times New Roman"/>
        </w:rPr>
        <w:t>Zapisywanie wyników testów do bazy i wykorzystywania Database Viewer do przeglądania zapisanych danych.</w:t>
      </w:r>
    </w:p>
    <w:p w:rsidR="00C45DBA" w:rsidRPr="000B7C48" w:rsidRDefault="00C45DBA" w:rsidP="0007464C">
      <w:pPr>
        <w:pStyle w:val="Tekstpodstawowy"/>
        <w:spacing w:after="0"/>
        <w:rPr>
          <w:color w:val="000000" w:themeColor="text1"/>
          <w:lang w:val="pl-PL"/>
        </w:rPr>
      </w:pPr>
      <w:r w:rsidRPr="000B7C48">
        <w:rPr>
          <w:color w:val="000000" w:themeColor="text1"/>
          <w:lang w:val="pl-PL"/>
        </w:rPr>
        <w:t>Szkolenie powinno trwać min 24 godziny szkoleniowe, nie mniej niż 3 dni.</w:t>
      </w:r>
    </w:p>
    <w:p w:rsidR="00C45DBA" w:rsidRPr="000B7C48" w:rsidRDefault="00C45DBA" w:rsidP="0007464C">
      <w:pPr>
        <w:pStyle w:val="Tekstpodstawowy"/>
        <w:spacing w:after="0"/>
        <w:rPr>
          <w:color w:val="FF0000"/>
          <w:lang w:val="pl-PL"/>
        </w:rPr>
      </w:pPr>
    </w:p>
    <w:p w:rsidR="00C45DBA" w:rsidRPr="000B7C48" w:rsidRDefault="00C45DBA" w:rsidP="0007464C">
      <w:pPr>
        <w:pStyle w:val="Tekstpodstawowy"/>
        <w:numPr>
          <w:ilvl w:val="0"/>
          <w:numId w:val="1"/>
        </w:numPr>
        <w:spacing w:after="0"/>
        <w:rPr>
          <w:lang w:val="en-US" w:eastAsia="pl-PL"/>
        </w:rPr>
      </w:pPr>
      <w:proofErr w:type="spellStart"/>
      <w:r w:rsidRPr="000B7C48">
        <w:t>LabVIEW</w:t>
      </w:r>
      <w:proofErr w:type="spellEnd"/>
      <w:r w:rsidRPr="000B7C48">
        <w:t xml:space="preserve"> Machine </w:t>
      </w:r>
      <w:proofErr w:type="spellStart"/>
      <w:r w:rsidRPr="000B7C48">
        <w:t>Vision</w:t>
      </w:r>
      <w:proofErr w:type="spellEnd"/>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Wprowadzenie do zagadnienia systemów wizyjnych</w:t>
      </w:r>
      <w:r w:rsidRPr="000B7C48">
        <w:br/>
        <w:t>Wstęp do systemów rejestracji i analizy obrazu oraz ich komponentów.</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lastRenderedPageBreak/>
        <w:t>Wprowadzenie do oświetlenia, kamer i układów optycznych</w:t>
      </w:r>
      <w:r w:rsidRPr="000B7C48">
        <w:br/>
        <w:t>Wstęp i przeznaczenie oświetlenia, kamer i układów optycznych do systemów rejestracji oraz analizy obrazu oraz ich komponentów. Wybieranie poszczególnych komponentów systemu.</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Strategie realizacji systemów wizyjnych</w:t>
      </w:r>
      <w:r w:rsidRPr="000B7C48">
        <w:br/>
      </w:r>
      <w:proofErr w:type="spellStart"/>
      <w:r w:rsidRPr="000B7C48">
        <w:t>Oopcje</w:t>
      </w:r>
      <w:proofErr w:type="spellEnd"/>
      <w:r w:rsidRPr="000B7C48">
        <w:t xml:space="preserve"> sprzętowe do wykorzystania przy budowie systemu wizyjnego. Typy oświetlenia, kamer i układów optycznych. Platforma NI dla systemów wizyjnych. Projekt sprzętowej części systemu wizyjnego.</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Akwizycja i wyświetlanie obrazów</w:t>
      </w:r>
      <w:r w:rsidRPr="000B7C48">
        <w:br/>
        <w:t xml:space="preserve">Metody rejestracji i wyświetlania obrazu w </w:t>
      </w:r>
      <w:proofErr w:type="spellStart"/>
      <w:r w:rsidRPr="000B7C48">
        <w:t>LabVIEW</w:t>
      </w:r>
      <w:proofErr w:type="spellEnd"/>
      <w:r w:rsidRPr="000B7C48">
        <w:t>.</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Przygotowanie obrazów do analizy</w:t>
      </w:r>
      <w:r w:rsidRPr="000B7C48">
        <w:br/>
        <w:t xml:space="preserve">Przygotowanie obrazu do dalszej analizy w </w:t>
      </w:r>
      <w:proofErr w:type="spellStart"/>
      <w:r w:rsidRPr="000B7C48">
        <w:t>LabVIEW</w:t>
      </w:r>
      <w:proofErr w:type="spellEnd"/>
      <w:r w:rsidRPr="000B7C48">
        <w:t>. Funkcje filtracji i obliczania histogramu.</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Analiza obiektów na obrazie</w:t>
      </w:r>
      <w:r w:rsidRPr="000B7C48">
        <w:br/>
        <w:t>Metody analizy obiektów na obrazie. Proces konwersji obrazu do formatu binarnego oraz funkcje morfologiczne.</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Techniki widzenia komputerowego</w:t>
      </w:r>
      <w:r w:rsidRPr="000B7C48">
        <w:br/>
        <w:t xml:space="preserve">Implementowanie techniki widzenia komputerowego w </w:t>
      </w:r>
      <w:proofErr w:type="spellStart"/>
      <w:r w:rsidRPr="000B7C48">
        <w:t>LabVIEW</w:t>
      </w:r>
      <w:proofErr w:type="spellEnd"/>
      <w:r w:rsidRPr="000B7C48">
        <w:t>. Funkcje ustawiania układu współrzędnych na podstawie wykrytych krawędzi lub wzorców. Obsługa funkcji do pomiaru parametrów geometrycznych obrazu, min. odległości.</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Kalibracja obrazu</w:t>
      </w:r>
      <w:r w:rsidRPr="000B7C48">
        <w:br/>
        <w:t>Metody konwersji wyników do jednostek rzeczywistych za pomocą funkcji kalibracji.</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Identyfikacja obiektów</w:t>
      </w:r>
      <w:r w:rsidRPr="000B7C48">
        <w:br/>
        <w:t>Znajdowanie obiektów i ich defektów na obrazie, odczytywanie kodów kreskowych, znaków, przetwarzanie obrazów kolorowych.</w:t>
      </w:r>
    </w:p>
    <w:p w:rsidR="00C45DBA" w:rsidRPr="000B7C48" w:rsidRDefault="00C45DBA" w:rsidP="0007464C">
      <w:pPr>
        <w:pStyle w:val="pnx-block-2x"/>
        <w:numPr>
          <w:ilvl w:val="1"/>
          <w:numId w:val="1"/>
        </w:numPr>
        <w:shd w:val="clear" w:color="auto" w:fill="FFFFFF"/>
        <w:spacing w:before="0" w:beforeAutospacing="0" w:after="360" w:afterAutospacing="0"/>
      </w:pPr>
      <w:r w:rsidRPr="000B7C48">
        <w:rPr>
          <w:b/>
          <w:bCs/>
        </w:rPr>
        <w:t>Dobre praktyki w tworzeniu aplikacji wizyjnych</w:t>
      </w:r>
      <w:r w:rsidRPr="000B7C48">
        <w:br/>
        <w:t>Dobre praktyki związane ze zbieraniem i analizą wymogów aplikacji wizyjnych. Proces tworzenia aplikacji począwszy od projektowania, poprzez tworzenie, testowanie i uruchamianie systemu.</w:t>
      </w:r>
    </w:p>
    <w:p w:rsidR="00C45DBA" w:rsidRPr="000B7C48" w:rsidRDefault="00C45DBA" w:rsidP="0007464C">
      <w:pPr>
        <w:pStyle w:val="Tekstpodstawowy"/>
        <w:spacing w:after="0"/>
        <w:rPr>
          <w:color w:val="000000" w:themeColor="text1"/>
          <w:lang w:val="pl-PL"/>
        </w:rPr>
      </w:pPr>
      <w:r w:rsidRPr="000B7C48">
        <w:rPr>
          <w:color w:val="000000" w:themeColor="text1"/>
          <w:lang w:val="pl-PL"/>
        </w:rPr>
        <w:t>Szkolenie powinno trwać min 24 godziny szkoleniowe, nie mniej niż 3 dni.</w:t>
      </w:r>
    </w:p>
    <w:p w:rsidR="00C45DBA" w:rsidRPr="00C651B4" w:rsidRDefault="00C45DBA" w:rsidP="0007464C">
      <w:pPr>
        <w:pStyle w:val="Tekstpodstawowy"/>
        <w:spacing w:after="0"/>
        <w:rPr>
          <w:color w:val="FF0000"/>
          <w:sz w:val="16"/>
          <w:szCs w:val="16"/>
          <w:lang w:val="pl-PL"/>
        </w:rPr>
      </w:pPr>
    </w:p>
    <w:p w:rsidR="00C45DBA" w:rsidRPr="000B7C48" w:rsidRDefault="00C45DBA" w:rsidP="0007464C">
      <w:pPr>
        <w:pStyle w:val="Tekstpodstawowy"/>
        <w:spacing w:after="0"/>
        <w:rPr>
          <w:lang w:val="pl-PL" w:eastAsia="pl-PL"/>
        </w:rPr>
      </w:pPr>
      <w:r w:rsidRPr="000B7C48">
        <w:rPr>
          <w:lang w:val="pl-PL" w:eastAsia="pl-PL"/>
        </w:rPr>
        <w:t>Wymagania związane z realizacją szkoleń (warunki konieczne, które muszą zostać spełnione, aby firma mogła złożyć ofertę w przetargu):</w:t>
      </w:r>
    </w:p>
    <w:p w:rsidR="00C45DBA" w:rsidRPr="000B7C48" w:rsidRDefault="00C45DBA" w:rsidP="0007464C">
      <w:pPr>
        <w:pStyle w:val="Tekstpodstawowy"/>
        <w:spacing w:after="0"/>
        <w:rPr>
          <w:lang w:val="pl-PL" w:eastAsia="pl-PL"/>
        </w:rPr>
      </w:pPr>
      <w:r w:rsidRPr="000B7C48">
        <w:rPr>
          <w:lang w:val="pl-PL" w:eastAsia="pl-PL"/>
        </w:rPr>
        <w:t>- szkolenia powinny być realizowane w języku polskim,</w:t>
      </w:r>
    </w:p>
    <w:p w:rsidR="00C45DBA" w:rsidRPr="000B7C48" w:rsidRDefault="00C45DBA" w:rsidP="0007464C">
      <w:pPr>
        <w:pStyle w:val="Tekstpodstawowy"/>
        <w:spacing w:after="0"/>
        <w:rPr>
          <w:lang w:val="pl-PL" w:eastAsia="pl-PL"/>
        </w:rPr>
      </w:pPr>
      <w:r w:rsidRPr="000B7C48">
        <w:rPr>
          <w:lang w:val="pl-PL" w:eastAsia="pl-PL"/>
        </w:rPr>
        <w:t>- trener/</w:t>
      </w:r>
      <w:proofErr w:type="spellStart"/>
      <w:r w:rsidRPr="000B7C48">
        <w:rPr>
          <w:lang w:val="pl-PL" w:eastAsia="pl-PL"/>
        </w:rPr>
        <w:t>zy</w:t>
      </w:r>
      <w:proofErr w:type="spellEnd"/>
      <w:r w:rsidRPr="000B7C48">
        <w:rPr>
          <w:lang w:val="pl-PL" w:eastAsia="pl-PL"/>
        </w:rPr>
        <w:t xml:space="preserve"> realizujący szkolenie powinien/</w:t>
      </w:r>
      <w:proofErr w:type="spellStart"/>
      <w:r w:rsidRPr="000B7C48">
        <w:rPr>
          <w:lang w:val="pl-PL" w:eastAsia="pl-PL"/>
        </w:rPr>
        <w:t>ny</w:t>
      </w:r>
      <w:proofErr w:type="spellEnd"/>
      <w:r w:rsidRPr="000B7C48">
        <w:rPr>
          <w:lang w:val="pl-PL" w:eastAsia="pl-PL"/>
        </w:rPr>
        <w:t xml:space="preserve"> posiadać odpowiednie doświadczenie teoretyczne i praktyczne oraz niezbędne kwalifikacje, tj. 2-letnie doświadczenie w </w:t>
      </w:r>
      <w:r w:rsidRPr="000B7C48">
        <w:rPr>
          <w:lang w:val="pl-PL" w:eastAsia="pl-PL"/>
        </w:rPr>
        <w:lastRenderedPageBreak/>
        <w:t xml:space="preserve">programowaniu w graficznym środowisku programowania </w:t>
      </w:r>
      <w:proofErr w:type="spellStart"/>
      <w:r w:rsidRPr="000B7C48">
        <w:rPr>
          <w:lang w:val="pl-PL" w:eastAsia="pl-PL"/>
        </w:rPr>
        <w:t>LabVIEW</w:t>
      </w:r>
      <w:proofErr w:type="spellEnd"/>
      <w:r w:rsidRPr="000B7C48">
        <w:rPr>
          <w:lang w:val="pl-PL" w:eastAsia="pl-PL"/>
        </w:rPr>
        <w:t>, wykształcenie wyższe techniczne</w:t>
      </w:r>
    </w:p>
    <w:p w:rsidR="00C45DBA" w:rsidRPr="000B7C48" w:rsidRDefault="00C45DBA" w:rsidP="0007464C">
      <w:pPr>
        <w:pStyle w:val="Tekstpodstawowy"/>
        <w:spacing w:after="0"/>
        <w:rPr>
          <w:lang w:val="pl-PL" w:eastAsia="pl-PL"/>
        </w:rPr>
      </w:pPr>
      <w:r w:rsidRPr="000B7C48">
        <w:rPr>
          <w:lang w:val="pl-PL" w:eastAsia="pl-PL"/>
        </w:rPr>
        <w:t xml:space="preserve">– wykonawca powinien dysponować przynajmniej czterema trenerami posiadającymi certyfikat </w:t>
      </w:r>
      <w:proofErr w:type="spellStart"/>
      <w:r w:rsidRPr="000B7C48">
        <w:rPr>
          <w:lang w:val="pl-PL" w:eastAsia="pl-PL"/>
        </w:rPr>
        <w:t>Certified</w:t>
      </w:r>
      <w:proofErr w:type="spellEnd"/>
      <w:r w:rsidRPr="000B7C48">
        <w:rPr>
          <w:lang w:val="pl-PL" w:eastAsia="pl-PL"/>
        </w:rPr>
        <w:t xml:space="preserve"> </w:t>
      </w:r>
      <w:proofErr w:type="spellStart"/>
      <w:r w:rsidRPr="000B7C48">
        <w:rPr>
          <w:lang w:val="pl-PL" w:eastAsia="pl-PL"/>
        </w:rPr>
        <w:t>LabVIEW</w:t>
      </w:r>
      <w:proofErr w:type="spellEnd"/>
      <w:r w:rsidRPr="000B7C48">
        <w:rPr>
          <w:lang w:val="pl-PL" w:eastAsia="pl-PL"/>
        </w:rPr>
        <w:t xml:space="preserve"> Architect, </w:t>
      </w:r>
    </w:p>
    <w:p w:rsidR="00C45DBA" w:rsidRPr="000B7C48" w:rsidRDefault="00C45DBA" w:rsidP="0007464C">
      <w:pPr>
        <w:pStyle w:val="Tekstpodstawowy"/>
        <w:spacing w:after="0"/>
        <w:rPr>
          <w:lang w:val="pl-PL" w:eastAsia="pl-PL"/>
        </w:rPr>
      </w:pPr>
      <w:r w:rsidRPr="000B7C48">
        <w:rPr>
          <w:lang w:val="pl-PL" w:eastAsia="pl-PL"/>
        </w:rPr>
        <w:t>- dostęp do niezbędnych urządzeń, programów i materiałów na potrzeby realizacji warsztatów, tj.</w:t>
      </w:r>
    </w:p>
    <w:p w:rsidR="00C45DBA" w:rsidRPr="000B7C48" w:rsidRDefault="00C45DBA" w:rsidP="0007464C">
      <w:pPr>
        <w:pStyle w:val="Tekstpodstawowy"/>
        <w:numPr>
          <w:ilvl w:val="0"/>
          <w:numId w:val="2"/>
        </w:numPr>
        <w:spacing w:after="0"/>
        <w:rPr>
          <w:lang w:val="pl-PL" w:eastAsia="pl-PL"/>
        </w:rPr>
      </w:pPr>
      <w:r w:rsidRPr="000B7C48">
        <w:rPr>
          <w:lang w:val="pl-PL" w:eastAsia="pl-PL"/>
        </w:rPr>
        <w:t xml:space="preserve">Komputera PC (stacjonarnego lub przenośnego) z systemem operacyjnym Windows wraz z pakietem oprogramowania </w:t>
      </w:r>
      <w:proofErr w:type="spellStart"/>
      <w:r w:rsidRPr="000B7C48">
        <w:rPr>
          <w:lang w:val="pl-PL" w:eastAsia="pl-PL"/>
        </w:rPr>
        <w:t>National</w:t>
      </w:r>
      <w:proofErr w:type="spellEnd"/>
      <w:r w:rsidRPr="000B7C48">
        <w:rPr>
          <w:lang w:val="pl-PL" w:eastAsia="pl-PL"/>
        </w:rPr>
        <w:t xml:space="preserve"> Instruments, tj. </w:t>
      </w:r>
      <w:proofErr w:type="spellStart"/>
      <w:r w:rsidRPr="000B7C48">
        <w:rPr>
          <w:lang w:val="pl-PL" w:eastAsia="pl-PL"/>
        </w:rPr>
        <w:t>LabVIEW</w:t>
      </w:r>
      <w:proofErr w:type="spellEnd"/>
      <w:r w:rsidRPr="000B7C48">
        <w:rPr>
          <w:lang w:val="pl-PL" w:eastAsia="pl-PL"/>
        </w:rPr>
        <w:t xml:space="preserve"> (z modułem </w:t>
      </w:r>
      <w:proofErr w:type="spellStart"/>
      <w:r w:rsidRPr="000B7C48">
        <w:rPr>
          <w:lang w:val="pl-PL" w:eastAsia="pl-PL"/>
        </w:rPr>
        <w:t>Vision</w:t>
      </w:r>
      <w:proofErr w:type="spellEnd"/>
      <w:r w:rsidRPr="000B7C48">
        <w:rPr>
          <w:lang w:val="pl-PL" w:eastAsia="pl-PL"/>
        </w:rPr>
        <w:t xml:space="preserve">) </w:t>
      </w:r>
      <w:proofErr w:type="spellStart"/>
      <w:r w:rsidRPr="000B7C48">
        <w:rPr>
          <w:lang w:val="pl-PL" w:eastAsia="pl-PL"/>
        </w:rPr>
        <w:t>TestStand</w:t>
      </w:r>
      <w:proofErr w:type="spellEnd"/>
      <w:r w:rsidRPr="000B7C48">
        <w:rPr>
          <w:lang w:val="pl-PL" w:eastAsia="pl-PL"/>
        </w:rPr>
        <w:t xml:space="preserve"> i odpowiednimi sterownikami. Oprogramowanie każdorazowo powinno umożliwiać wykonanie wszystkich ćwiczeń realizowanych w trakcie szkolenia przez uczestników.</w:t>
      </w:r>
    </w:p>
    <w:p w:rsidR="00C45DBA" w:rsidRPr="000B7C48" w:rsidRDefault="00C45DBA" w:rsidP="0007464C">
      <w:pPr>
        <w:pStyle w:val="Tekstpodstawowy"/>
        <w:numPr>
          <w:ilvl w:val="0"/>
          <w:numId w:val="2"/>
        </w:numPr>
        <w:spacing w:after="0"/>
        <w:rPr>
          <w:lang w:val="pl-PL" w:eastAsia="pl-PL"/>
        </w:rPr>
      </w:pPr>
      <w:r w:rsidRPr="000B7C48">
        <w:rPr>
          <w:lang w:val="pl-PL" w:eastAsia="pl-PL"/>
        </w:rPr>
        <w:t>Dla wymienionych szkoleń:</w:t>
      </w:r>
    </w:p>
    <w:p w:rsidR="00C45DBA" w:rsidRPr="000B7C48" w:rsidRDefault="00C45DBA" w:rsidP="0007464C">
      <w:pPr>
        <w:pStyle w:val="Tekstpodstawowy"/>
        <w:numPr>
          <w:ilvl w:val="1"/>
          <w:numId w:val="2"/>
        </w:numPr>
        <w:spacing w:after="0"/>
        <w:rPr>
          <w:lang w:val="pl-PL" w:eastAsia="pl-PL"/>
        </w:rPr>
      </w:pPr>
      <w:r w:rsidRPr="000B7C48">
        <w:rPr>
          <w:lang w:val="pl-PL" w:eastAsia="pl-PL"/>
        </w:rPr>
        <w:t xml:space="preserve">Kart pomiarowych </w:t>
      </w:r>
      <w:proofErr w:type="spellStart"/>
      <w:r w:rsidRPr="000B7C48">
        <w:rPr>
          <w:lang w:val="pl-PL" w:eastAsia="pl-PL"/>
        </w:rPr>
        <w:t>National</w:t>
      </w:r>
      <w:proofErr w:type="spellEnd"/>
      <w:r w:rsidRPr="000B7C48">
        <w:rPr>
          <w:lang w:val="pl-PL" w:eastAsia="pl-PL"/>
        </w:rPr>
        <w:t xml:space="preserve"> Instruments posiadających Wejścia/wyjścia analogowe i cyfrowe oraz układy licznikowe do realizacji części sprzętowej</w:t>
      </w:r>
    </w:p>
    <w:p w:rsidR="00C45DBA" w:rsidRPr="000B7C48" w:rsidRDefault="00C45DBA" w:rsidP="0007464C">
      <w:pPr>
        <w:pStyle w:val="Tekstpodstawowy"/>
        <w:numPr>
          <w:ilvl w:val="1"/>
          <w:numId w:val="2"/>
        </w:numPr>
        <w:spacing w:after="0"/>
        <w:rPr>
          <w:lang w:val="pl-PL" w:eastAsia="pl-PL"/>
        </w:rPr>
      </w:pPr>
      <w:r w:rsidRPr="000B7C48">
        <w:rPr>
          <w:lang w:val="pl-PL" w:eastAsia="pl-PL"/>
        </w:rPr>
        <w:t>Symulatorów sygnałów analogowych/cyfrowych do realizacji zadań związanych z pomiarami.</w:t>
      </w:r>
    </w:p>
    <w:p w:rsidR="00C45DBA" w:rsidRPr="000B7C48" w:rsidRDefault="00C45DBA" w:rsidP="0007464C">
      <w:pPr>
        <w:pStyle w:val="Tekstpodstawowy"/>
        <w:numPr>
          <w:ilvl w:val="1"/>
          <w:numId w:val="2"/>
        </w:numPr>
        <w:spacing w:after="0"/>
        <w:rPr>
          <w:lang w:val="pl-PL" w:eastAsia="pl-PL"/>
        </w:rPr>
      </w:pPr>
      <w:r w:rsidRPr="000B7C48">
        <w:rPr>
          <w:lang w:val="pl-PL" w:eastAsia="pl-PL"/>
        </w:rPr>
        <w:t>Modułów do akwizycji sygnałów RS232 oraz symulatorów sygnału RS232 do realizacji ćwiczeń opisujących komunikację ze sprzętem zewnętrznym.</w:t>
      </w:r>
    </w:p>
    <w:p w:rsidR="00C45DBA" w:rsidRPr="000B7C48" w:rsidRDefault="00C45DBA" w:rsidP="0007464C">
      <w:pPr>
        <w:pStyle w:val="Tekstpodstawowy"/>
        <w:numPr>
          <w:ilvl w:val="1"/>
          <w:numId w:val="2"/>
        </w:numPr>
        <w:spacing w:after="0"/>
        <w:rPr>
          <w:lang w:val="pl-PL" w:eastAsia="pl-PL"/>
        </w:rPr>
      </w:pPr>
      <w:r w:rsidRPr="000B7C48">
        <w:rPr>
          <w:lang w:val="pl-PL" w:eastAsia="pl-PL"/>
        </w:rPr>
        <w:t>Zestawów z kamerami podłączanymi do komputera w celu realizacji szkoleń wizyjnych.</w:t>
      </w:r>
    </w:p>
    <w:p w:rsidR="00C45DBA" w:rsidRPr="000B7C48" w:rsidRDefault="00C45DBA" w:rsidP="00C651B4">
      <w:pPr>
        <w:pStyle w:val="Tekstpodstawowy"/>
        <w:numPr>
          <w:ilvl w:val="0"/>
          <w:numId w:val="2"/>
        </w:numPr>
        <w:spacing w:after="0"/>
        <w:jc w:val="both"/>
        <w:rPr>
          <w:lang w:val="pl-PL" w:eastAsia="pl-PL"/>
        </w:rPr>
      </w:pPr>
      <w:r w:rsidRPr="000B7C48">
        <w:rPr>
          <w:lang w:val="pl-PL" w:eastAsia="pl-PL"/>
        </w:rPr>
        <w:t>Odpowiedniej liczby podręczników i drukowanych materiałów szkoleniowych do przekazania uczestnikom szkolenia (10 szt. na szkolenie).</w:t>
      </w:r>
    </w:p>
    <w:p w:rsidR="00C45DBA" w:rsidRPr="000B7C48" w:rsidRDefault="00C45DBA" w:rsidP="0007464C">
      <w:pPr>
        <w:pStyle w:val="Tekstpodstawowy"/>
        <w:spacing w:after="0"/>
        <w:rPr>
          <w:lang w:val="pl-PL" w:eastAsia="pl-PL"/>
        </w:rPr>
      </w:pPr>
    </w:p>
    <w:p w:rsidR="00C45DBA" w:rsidRPr="000B7C48" w:rsidRDefault="00C45DBA" w:rsidP="0007464C">
      <w:pPr>
        <w:autoSpaceDE w:val="0"/>
        <w:autoSpaceDN w:val="0"/>
        <w:adjustRightInd w:val="0"/>
        <w:rPr>
          <w:rFonts w:ascii="Times New Roman" w:eastAsia="Calibri" w:hAnsi="Times New Roman" w:cs="Times New Roman"/>
          <w:b/>
        </w:rPr>
      </w:pPr>
      <w:r w:rsidRPr="000B7C48">
        <w:rPr>
          <w:rFonts w:ascii="Times New Roman" w:eastAsia="Calibri" w:hAnsi="Times New Roman" w:cs="Times New Roman"/>
          <w:b/>
        </w:rPr>
        <w:t>4. WYNAJEM SAL KONFERENCYJNYCH</w:t>
      </w:r>
    </w:p>
    <w:p w:rsidR="00C45DBA" w:rsidRPr="000B7C48" w:rsidRDefault="00C45DBA" w:rsidP="00783621">
      <w:pPr>
        <w:pStyle w:val="Tekstpodstawowy"/>
        <w:jc w:val="both"/>
        <w:rPr>
          <w:lang w:val="pl-PL" w:eastAsia="pl-PL"/>
        </w:rPr>
      </w:pPr>
      <w:r w:rsidRPr="000B7C48">
        <w:rPr>
          <w:b/>
          <w:lang w:val="pl-PL" w:eastAsia="pl-PL"/>
        </w:rPr>
        <w:t>Wspólny Słownik Zamówień</w:t>
      </w:r>
      <w:r w:rsidRPr="000B7C48">
        <w:rPr>
          <w:rFonts w:eastAsia="Calibri"/>
        </w:rPr>
        <w:t xml:space="preserve"> 55120000-7 Usługi hotelarskie w zakresie spotkań i konferencji</w:t>
      </w:r>
    </w:p>
    <w:p w:rsidR="00C45DBA" w:rsidRPr="000B7C48" w:rsidRDefault="00C45DBA" w:rsidP="00783621">
      <w:pPr>
        <w:pStyle w:val="Tekstpodstawowy"/>
        <w:spacing w:after="0"/>
        <w:jc w:val="both"/>
        <w:rPr>
          <w:lang w:val="pl-PL" w:eastAsia="pl-PL"/>
        </w:rPr>
      </w:pPr>
      <w:r w:rsidRPr="000B7C48">
        <w:rPr>
          <w:lang w:val="pl-PL" w:eastAsia="pl-PL"/>
        </w:rPr>
        <w:t xml:space="preserve">Realizacja części teoretycznej i praktycznej szkoleń powinna odbyć się w sali konferencyjnej mogącej pomieścić wszystkich uczestników szkolenia (do 10 osób), która będzie wyposażona w: projektor multimedialny, flipchart, stoliki, krzesła. Na sali powinna istnieć możliwość korzystania z Internetu (stałe łącze lub </w:t>
      </w:r>
      <w:proofErr w:type="spellStart"/>
      <w:r w:rsidRPr="000B7C48">
        <w:rPr>
          <w:lang w:val="pl-PL" w:eastAsia="pl-PL"/>
        </w:rPr>
        <w:t>WiFi</w:t>
      </w:r>
      <w:proofErr w:type="spellEnd"/>
      <w:r w:rsidRPr="000B7C48">
        <w:rPr>
          <w:lang w:val="pl-PL" w:eastAsia="pl-PL"/>
        </w:rPr>
        <w:t>).</w:t>
      </w:r>
    </w:p>
    <w:p w:rsidR="00C45DBA" w:rsidRPr="000B7C48" w:rsidRDefault="00C45DBA" w:rsidP="00783621">
      <w:pPr>
        <w:pStyle w:val="Tekstpodstawowy"/>
        <w:spacing w:after="0"/>
        <w:jc w:val="both"/>
        <w:rPr>
          <w:lang w:val="pl-PL" w:eastAsia="pl-PL"/>
        </w:rPr>
      </w:pPr>
      <w:r w:rsidRPr="000B7C48">
        <w:rPr>
          <w:lang w:val="pl-PL" w:eastAsia="pl-PL"/>
        </w:rPr>
        <w:t xml:space="preserve">Podczas szkolenia dla każdego studenta jest wymagany dostęp do komputera/tabletu umożliwiającego wykonywanie szkoleń w środowisku </w:t>
      </w:r>
      <w:proofErr w:type="spellStart"/>
      <w:r w:rsidRPr="000B7C48">
        <w:rPr>
          <w:lang w:val="pl-PL" w:eastAsia="pl-PL"/>
        </w:rPr>
        <w:t>LabVIEW</w:t>
      </w:r>
      <w:proofErr w:type="spellEnd"/>
      <w:r w:rsidRPr="000B7C48">
        <w:rPr>
          <w:lang w:val="pl-PL" w:eastAsia="pl-PL"/>
        </w:rPr>
        <w:t>.</w:t>
      </w:r>
    </w:p>
    <w:p w:rsidR="00C45DBA" w:rsidRPr="000B7C48" w:rsidRDefault="00C45DBA" w:rsidP="0007464C">
      <w:pPr>
        <w:pStyle w:val="Tekstpodstawowy"/>
        <w:spacing w:after="0"/>
        <w:rPr>
          <w:lang w:val="pl-PL" w:eastAsia="pl-PL"/>
        </w:rPr>
      </w:pPr>
    </w:p>
    <w:p w:rsidR="00C45DBA" w:rsidRPr="000B7C48" w:rsidRDefault="00C45DBA" w:rsidP="0007464C">
      <w:pPr>
        <w:pStyle w:val="Tekstpodstawowy"/>
        <w:spacing w:after="0"/>
        <w:rPr>
          <w:lang w:val="pl-PL" w:eastAsia="pl-PL"/>
        </w:rPr>
      </w:pPr>
      <w:r w:rsidRPr="000B7C48">
        <w:rPr>
          <w:lang w:val="pl-PL" w:eastAsia="pl-PL"/>
        </w:rPr>
        <w:t xml:space="preserve">Obiekt, w którym będzie organizowana część teoretyczna i praktyczna szkolenia powinien być dostosowany do potrzeb osób niepełnosprawnych. Realizacja wszystkich elementów wskazanych w każdym szkoleniu powinna zostać wykonana w jednym terminie wskazanym przez Zamawiającego. </w:t>
      </w:r>
    </w:p>
    <w:p w:rsidR="00C45DBA" w:rsidRPr="000B7C48" w:rsidRDefault="00C45DBA" w:rsidP="0007464C">
      <w:pPr>
        <w:pStyle w:val="Tekstpodstawowy"/>
        <w:spacing w:after="0"/>
        <w:rPr>
          <w:b/>
          <w:lang w:val="pl-PL" w:eastAsia="pl-PL"/>
        </w:rPr>
      </w:pPr>
    </w:p>
    <w:p w:rsidR="00C45DBA" w:rsidRPr="000B7C48" w:rsidRDefault="00C45DBA" w:rsidP="0007464C">
      <w:pPr>
        <w:pStyle w:val="Tekstpodstawowy"/>
        <w:spacing w:after="0"/>
        <w:rPr>
          <w:b/>
          <w:lang w:val="pl-PL" w:eastAsia="pl-PL"/>
        </w:rPr>
      </w:pPr>
      <w:r w:rsidRPr="000B7C48">
        <w:rPr>
          <w:b/>
          <w:lang w:val="pl-PL" w:eastAsia="pl-PL"/>
        </w:rPr>
        <w:t>Ponadto uczestnicy szkoleń (studenci) po zakończeniu szkoleń otrzymają:</w:t>
      </w:r>
    </w:p>
    <w:p w:rsidR="00C45DBA" w:rsidRPr="000B7C48" w:rsidRDefault="00C45DBA" w:rsidP="0007464C">
      <w:pPr>
        <w:pStyle w:val="Tekstpodstawowy"/>
        <w:spacing w:after="0"/>
        <w:rPr>
          <w:lang w:val="pl-PL" w:eastAsia="pl-PL"/>
        </w:rPr>
      </w:pPr>
      <w:r w:rsidRPr="000B7C48">
        <w:rPr>
          <w:lang w:val="pl-PL" w:eastAsia="pl-PL"/>
        </w:rPr>
        <w:t>1.</w:t>
      </w:r>
      <w:r w:rsidRPr="000B7C48">
        <w:rPr>
          <w:lang w:val="pl-PL" w:eastAsia="pl-PL"/>
        </w:rPr>
        <w:tab/>
        <w:t>Wykonawca dostarczy i przekaże każdemu uczestnikowi szkoleń w dniu rozpoczęcia szkolenia: materiały szkoleniowe w języku polskim lub angielskim (w wersji papierowej przygotowanej w drukarni przez i na koszt firmy szkoleniowej); notes, teczkę, długopis - należy przedłożyć Zamawiającemu potwierdzenie przez studenta otrzymania materiałów w postaci podpisanej listy odbioru materiałów oraz okazać jeden egzemplarz materiałów szkoleniowych.</w:t>
      </w:r>
    </w:p>
    <w:p w:rsidR="00C45DBA" w:rsidRPr="000B7C48" w:rsidRDefault="00C45DBA" w:rsidP="0007464C">
      <w:pPr>
        <w:pStyle w:val="Tekstpodstawowy"/>
        <w:spacing w:after="0"/>
        <w:rPr>
          <w:lang w:val="pl-PL" w:eastAsia="pl-PL"/>
        </w:rPr>
      </w:pPr>
      <w:r w:rsidRPr="000B7C48">
        <w:rPr>
          <w:lang w:val="pl-PL" w:eastAsia="pl-PL"/>
        </w:rPr>
        <w:t>2.</w:t>
      </w:r>
      <w:r w:rsidRPr="000B7C48">
        <w:rPr>
          <w:lang w:val="pl-PL" w:eastAsia="pl-PL"/>
        </w:rPr>
        <w:tab/>
        <w:t xml:space="preserve">Po zakończeniu każdego szkolenia każdy uczestnik, który odbył kurs, powinien otrzymać certyfikat rozpoznawalny i uznawalny na rynku pracy (zgodnie z tematem szkolenia; wraz z opisem zakresu szkolenia) potwierdzający ten fakt. Uzyskanie certyfikatu powinno odbyć się poprzez weryfikację efektów kształcenia (oczekiwany efekt kształcenia: EK: praktyczna znajomość narzędzia </w:t>
      </w:r>
      <w:proofErr w:type="spellStart"/>
      <w:r w:rsidRPr="000B7C48">
        <w:rPr>
          <w:lang w:val="pl-PL" w:eastAsia="pl-PL"/>
        </w:rPr>
        <w:t>LabVIEW</w:t>
      </w:r>
      <w:proofErr w:type="spellEnd"/>
      <w:r w:rsidRPr="000B7C48">
        <w:rPr>
          <w:lang w:val="pl-PL" w:eastAsia="pl-PL"/>
        </w:rPr>
        <w:t xml:space="preserve">) zgodnie z warunkami ukończenia każdego </w:t>
      </w:r>
      <w:r w:rsidRPr="000B7C48">
        <w:rPr>
          <w:lang w:val="pl-PL" w:eastAsia="pl-PL"/>
        </w:rPr>
        <w:lastRenderedPageBreak/>
        <w:t xml:space="preserve">szkolenia potwierdzającymi stosowne umiejętności osoby przeszkolonej; student powinien zdać stosowny egzamin/test sprawdzający/zaliczyć zadanie kończące kurs zgodnie z ogólnie obowiązującymi wymogami szkoleniowymi dla: </w:t>
      </w:r>
      <w:proofErr w:type="spellStart"/>
      <w:r w:rsidRPr="000B7C48">
        <w:t>LabVIEW</w:t>
      </w:r>
      <w:proofErr w:type="spellEnd"/>
      <w:r w:rsidRPr="000B7C48">
        <w:t xml:space="preserve"> </w:t>
      </w:r>
      <w:proofErr w:type="spellStart"/>
      <w:r w:rsidRPr="000B7C48">
        <w:t>Core</w:t>
      </w:r>
      <w:proofErr w:type="spellEnd"/>
      <w:r w:rsidRPr="000B7C48">
        <w:t xml:space="preserve"> 1</w:t>
      </w:r>
      <w:r w:rsidRPr="000B7C48">
        <w:rPr>
          <w:lang w:val="pl-PL"/>
        </w:rPr>
        <w:t xml:space="preserve">, </w:t>
      </w:r>
      <w:r w:rsidRPr="000B7C48">
        <w:t xml:space="preserve">Data </w:t>
      </w:r>
      <w:proofErr w:type="spellStart"/>
      <w:r w:rsidRPr="000B7C48">
        <w:t>Acquisition</w:t>
      </w:r>
      <w:proofErr w:type="spellEnd"/>
      <w:r w:rsidRPr="000B7C48">
        <w:t xml:space="preserve"> Using NI-</w:t>
      </w:r>
      <w:proofErr w:type="spellStart"/>
      <w:r w:rsidRPr="000B7C48">
        <w:t>DAQmx</w:t>
      </w:r>
      <w:proofErr w:type="spellEnd"/>
      <w:r w:rsidRPr="000B7C48">
        <w:t xml:space="preserve"> and </w:t>
      </w:r>
      <w:proofErr w:type="spellStart"/>
      <w:r w:rsidRPr="000B7C48">
        <w:t>LabVIEW</w:t>
      </w:r>
      <w:proofErr w:type="spellEnd"/>
      <w:r w:rsidRPr="000B7C48">
        <w:rPr>
          <w:lang w:val="pl-PL"/>
        </w:rPr>
        <w:t xml:space="preserve">, </w:t>
      </w:r>
      <w:proofErr w:type="spellStart"/>
      <w:r w:rsidRPr="000B7C48">
        <w:t>LabVIEW</w:t>
      </w:r>
      <w:proofErr w:type="spellEnd"/>
      <w:r w:rsidRPr="000B7C48">
        <w:t xml:space="preserve"> </w:t>
      </w:r>
      <w:proofErr w:type="spellStart"/>
      <w:r w:rsidRPr="000B7C48">
        <w:t>Core</w:t>
      </w:r>
      <w:proofErr w:type="spellEnd"/>
      <w:r w:rsidRPr="000B7C48">
        <w:t xml:space="preserve"> 2</w:t>
      </w:r>
      <w:r w:rsidRPr="000B7C48">
        <w:rPr>
          <w:lang w:val="pl-PL"/>
        </w:rPr>
        <w:t xml:space="preserve">, </w:t>
      </w:r>
      <w:r w:rsidRPr="000B7C48">
        <w:t xml:space="preserve">Developing Test Programs Using </w:t>
      </w:r>
      <w:proofErr w:type="spellStart"/>
      <w:r w:rsidRPr="000B7C48">
        <w:t>TestStand</w:t>
      </w:r>
      <w:proofErr w:type="spellEnd"/>
      <w:r w:rsidRPr="000B7C48">
        <w:rPr>
          <w:lang w:val="pl-PL"/>
        </w:rPr>
        <w:t xml:space="preserve">, </w:t>
      </w:r>
      <w:proofErr w:type="spellStart"/>
      <w:r w:rsidRPr="000B7C48">
        <w:t>LabVIEW</w:t>
      </w:r>
      <w:proofErr w:type="spellEnd"/>
      <w:r w:rsidRPr="000B7C48">
        <w:t xml:space="preserve"> Machine </w:t>
      </w:r>
      <w:proofErr w:type="spellStart"/>
      <w:r w:rsidRPr="000B7C48">
        <w:t>Vision</w:t>
      </w:r>
      <w:proofErr w:type="spellEnd"/>
      <w:r w:rsidRPr="000B7C48">
        <w:rPr>
          <w:lang w:val="pl-PL" w:eastAsia="pl-PL"/>
        </w:rPr>
        <w:t>. Certyfikaty można przekazać pocztą lub kurierem Zamawiającemu; następnie zostaną przekazane studentom.</w:t>
      </w:r>
    </w:p>
    <w:p w:rsidR="00C45DBA" w:rsidRPr="000B7C48" w:rsidRDefault="00C45DBA" w:rsidP="0007464C">
      <w:pPr>
        <w:pStyle w:val="Tekstpodstawowy"/>
        <w:spacing w:after="0"/>
        <w:rPr>
          <w:lang w:val="pl-PL" w:eastAsia="pl-PL"/>
        </w:rPr>
      </w:pPr>
      <w:r w:rsidRPr="000B7C48">
        <w:rPr>
          <w:lang w:val="pl-PL" w:eastAsia="pl-PL"/>
        </w:rPr>
        <w:t>Ponadto, przed rozpoczęciem szkoleń (w pierwszym dniu) każdy uczestnik (student) jest zobowiązany do wypełnienia formularzy samooceny (oddzielnie dla każdego szkolenia), które powinny określić poziom posiadanej wiedzy i kompetencji w odniesieniu do tematyki realizowanego szkolenia (</w:t>
      </w:r>
      <w:proofErr w:type="spellStart"/>
      <w:r w:rsidRPr="000B7C48">
        <w:t>LabVIEW</w:t>
      </w:r>
      <w:proofErr w:type="spellEnd"/>
      <w:r w:rsidRPr="000B7C48">
        <w:t xml:space="preserve"> </w:t>
      </w:r>
      <w:proofErr w:type="spellStart"/>
      <w:r w:rsidRPr="000B7C48">
        <w:t>Core</w:t>
      </w:r>
      <w:proofErr w:type="spellEnd"/>
      <w:r w:rsidRPr="000B7C48">
        <w:t xml:space="preserve"> 1</w:t>
      </w:r>
      <w:r w:rsidRPr="000B7C48">
        <w:rPr>
          <w:lang w:val="pl-PL"/>
        </w:rPr>
        <w:t xml:space="preserve">, </w:t>
      </w:r>
      <w:r w:rsidRPr="000B7C48">
        <w:t xml:space="preserve">Data </w:t>
      </w:r>
      <w:proofErr w:type="spellStart"/>
      <w:r w:rsidRPr="000B7C48">
        <w:t>Acquisition</w:t>
      </w:r>
      <w:proofErr w:type="spellEnd"/>
      <w:r w:rsidRPr="000B7C48">
        <w:t xml:space="preserve"> Using NI-</w:t>
      </w:r>
      <w:proofErr w:type="spellStart"/>
      <w:r w:rsidRPr="000B7C48">
        <w:t>DAQmx</w:t>
      </w:r>
      <w:proofErr w:type="spellEnd"/>
      <w:r w:rsidRPr="000B7C48">
        <w:t xml:space="preserve"> and </w:t>
      </w:r>
      <w:proofErr w:type="spellStart"/>
      <w:r w:rsidRPr="000B7C48">
        <w:t>LabVIEW</w:t>
      </w:r>
      <w:proofErr w:type="spellEnd"/>
      <w:r w:rsidRPr="000B7C48">
        <w:rPr>
          <w:lang w:val="pl-PL"/>
        </w:rPr>
        <w:t xml:space="preserve">, </w:t>
      </w:r>
      <w:proofErr w:type="spellStart"/>
      <w:r w:rsidRPr="000B7C48">
        <w:t>LabVIEW</w:t>
      </w:r>
      <w:proofErr w:type="spellEnd"/>
      <w:r w:rsidRPr="000B7C48">
        <w:t xml:space="preserve"> </w:t>
      </w:r>
      <w:proofErr w:type="spellStart"/>
      <w:r w:rsidRPr="000B7C48">
        <w:t>Core</w:t>
      </w:r>
      <w:proofErr w:type="spellEnd"/>
      <w:r w:rsidRPr="000B7C48">
        <w:t xml:space="preserve"> 2</w:t>
      </w:r>
      <w:r w:rsidRPr="000B7C48">
        <w:rPr>
          <w:lang w:val="pl-PL"/>
        </w:rPr>
        <w:t xml:space="preserve">, </w:t>
      </w:r>
      <w:r w:rsidRPr="000B7C48">
        <w:t xml:space="preserve">Developing Test Programs Using </w:t>
      </w:r>
      <w:proofErr w:type="spellStart"/>
      <w:r w:rsidRPr="000B7C48">
        <w:t>TestStand</w:t>
      </w:r>
      <w:proofErr w:type="spellEnd"/>
      <w:r w:rsidRPr="000B7C48">
        <w:rPr>
          <w:lang w:val="pl-PL"/>
        </w:rPr>
        <w:t xml:space="preserve">, </w:t>
      </w:r>
      <w:proofErr w:type="spellStart"/>
      <w:r w:rsidRPr="000B7C48">
        <w:t>LabVIEW</w:t>
      </w:r>
      <w:proofErr w:type="spellEnd"/>
      <w:r w:rsidRPr="000B7C48">
        <w:t xml:space="preserve"> Machine </w:t>
      </w:r>
      <w:proofErr w:type="spellStart"/>
      <w:r w:rsidRPr="000B7C48">
        <w:t>Vision</w:t>
      </w:r>
      <w:proofErr w:type="spellEnd"/>
      <w:r w:rsidRPr="000B7C48">
        <w:rPr>
          <w:lang w:val="pl-PL" w:eastAsia="pl-PL"/>
        </w:rPr>
        <w:t>); formularz będzie składał się z 7-15 pytań sprawdzających kompetencje studenta w tematyce szkolenia i będzie przygotowany przez Zamawiającego. Formularze i wyniki testu należy przekazać do zespołu kierującego projektem.</w:t>
      </w:r>
    </w:p>
    <w:p w:rsidR="00C45DBA" w:rsidRPr="000B7C48" w:rsidRDefault="00C45DBA" w:rsidP="0007464C">
      <w:pPr>
        <w:pStyle w:val="Tekstpodstawowy"/>
        <w:rPr>
          <w:lang w:val="pl-PL" w:eastAsia="pl-PL"/>
        </w:rPr>
      </w:pPr>
      <w:r w:rsidRPr="000B7C48">
        <w:rPr>
          <w:lang w:val="pl-PL" w:eastAsia="pl-PL"/>
        </w:rPr>
        <w:t>Należy przedłożyć Zamawiającemu krótką fotorelację ze szkolenia.</w:t>
      </w:r>
    </w:p>
    <w:p w:rsidR="00C45DBA" w:rsidRPr="000B7C48" w:rsidRDefault="00C45DBA" w:rsidP="0007464C">
      <w:pPr>
        <w:pStyle w:val="Tekstpodstawowy"/>
        <w:rPr>
          <w:lang w:val="pl-PL" w:eastAsia="pl-PL"/>
        </w:rPr>
      </w:pPr>
    </w:p>
    <w:p w:rsidR="00C45DBA" w:rsidRPr="000B7C48" w:rsidRDefault="00C45DBA" w:rsidP="0007464C">
      <w:pPr>
        <w:autoSpaceDE w:val="0"/>
        <w:autoSpaceDN w:val="0"/>
        <w:adjustRightInd w:val="0"/>
        <w:rPr>
          <w:rFonts w:ascii="Times New Roman" w:eastAsia="Calibri" w:hAnsi="Times New Roman" w:cs="Times New Roman"/>
          <w:b/>
        </w:rPr>
      </w:pPr>
      <w:r w:rsidRPr="000B7C48">
        <w:rPr>
          <w:rFonts w:ascii="Times New Roman" w:eastAsia="Calibri" w:hAnsi="Times New Roman" w:cs="Times New Roman"/>
          <w:b/>
        </w:rPr>
        <w:t>5. USŁUGA TRANSPORTOWA</w:t>
      </w:r>
    </w:p>
    <w:p w:rsidR="00C45DBA" w:rsidRPr="000B7C48" w:rsidRDefault="00C45DBA" w:rsidP="0007464C">
      <w:pPr>
        <w:pStyle w:val="Tekstpodstawowy"/>
        <w:spacing w:after="0"/>
        <w:rPr>
          <w:color w:val="000000" w:themeColor="text1"/>
          <w:lang w:val="pl-PL" w:eastAsia="pl-PL"/>
        </w:rPr>
      </w:pPr>
      <w:r w:rsidRPr="000B7C48">
        <w:rPr>
          <w:b/>
          <w:color w:val="000000" w:themeColor="text1"/>
          <w:lang w:val="pl-PL" w:eastAsia="pl-PL"/>
        </w:rPr>
        <w:t xml:space="preserve">Wspólny Słownik Zamówień: </w:t>
      </w:r>
      <w:r w:rsidRPr="000B7C48">
        <w:rPr>
          <w:color w:val="000000" w:themeColor="text1"/>
          <w:lang w:val="pl-PL" w:eastAsia="pl-PL"/>
        </w:rPr>
        <w:t>60000000-8 - Usługi transportowe</w:t>
      </w:r>
    </w:p>
    <w:p w:rsidR="00C45DBA" w:rsidRPr="000B7C48" w:rsidRDefault="00C45DBA" w:rsidP="0007464C">
      <w:pPr>
        <w:pStyle w:val="Tekstpodstawowy"/>
        <w:spacing w:after="0"/>
        <w:rPr>
          <w:color w:val="000000" w:themeColor="text1"/>
          <w:lang w:val="pl-PL" w:eastAsia="pl-PL"/>
        </w:rPr>
      </w:pPr>
      <w:r w:rsidRPr="000B7C48">
        <w:rPr>
          <w:color w:val="000000" w:themeColor="text1"/>
          <w:lang w:val="pl-PL" w:eastAsia="pl-PL"/>
        </w:rPr>
        <w:t>Uwaga: dotyczy gdy szkolenie w całości lub jego część, np. warsztaty będzie realizowane poza Rzeszowem w odległości co najmniej 50 km.</w:t>
      </w:r>
    </w:p>
    <w:p w:rsidR="00C45DBA" w:rsidRPr="000B7C48" w:rsidRDefault="00C45DBA" w:rsidP="0007464C">
      <w:pPr>
        <w:pStyle w:val="Tekstpodstawowy"/>
        <w:rPr>
          <w:lang w:val="pl-PL" w:eastAsia="pl-PL"/>
        </w:rPr>
      </w:pPr>
    </w:p>
    <w:p w:rsidR="00C45DBA" w:rsidRPr="000B7C48" w:rsidRDefault="00C45DBA" w:rsidP="0007464C">
      <w:pPr>
        <w:pStyle w:val="Tekstpodstawowy"/>
        <w:rPr>
          <w:lang w:val="pl-PL" w:eastAsia="pl-PL"/>
        </w:rPr>
      </w:pPr>
      <w:r w:rsidRPr="000B7C48">
        <w:rPr>
          <w:lang w:val="pl-PL" w:eastAsia="pl-PL"/>
        </w:rPr>
        <w:t>Na potrzeby realizacji szkolenia należy zagwarantować usługę transportową umożliwiającą dowóz całej grupy studentów na miejsce szkolenia oraz ich powrót. Transport można zorganizować wynajętym autobusem (autokar) gwarantującym przewóz jednym pojazdem całej grupy studentów. Wyjazd w terminie i o godzinie ustalonymi z zamawiającym; miejsce wyjazdu: parking przed bud. A, siedziba Wydziału Elektrotechniki i Informatyki PRz, ul. W. Pola 2, Rzeszów. Powrót po zakończeniu zajęć szkoleniowych, miejsce docelowe powrotu: parking przed bud. A, siedziba Wydziału Elektrotechniki i Informatyki PRz, ul. W. Pola 2, Rzeszów. W czasie transportu studentów do miejsca szkolenia i z miejsca szkolenia w autobusie powinien znajdować się co najmniej jeden opiekun grupy.</w:t>
      </w:r>
    </w:p>
    <w:p w:rsidR="00C45DBA" w:rsidRPr="000B7C48" w:rsidRDefault="00C45DBA" w:rsidP="0007464C">
      <w:pPr>
        <w:pStyle w:val="Tekstpodstawowy"/>
        <w:rPr>
          <w:lang w:val="pl-PL" w:eastAsia="pl-PL"/>
        </w:rPr>
      </w:pPr>
      <w:r w:rsidRPr="000B7C48">
        <w:rPr>
          <w:lang w:val="pl-PL" w:eastAsia="pl-PL"/>
        </w:rPr>
        <w:t>Alternatywnie: transport można zorganizować poprzez zapewnienie studentom możliwości skorzystania ze środków publicznego transportu (np. autobus PKS, PKP, przewoźnik międzymiastowy) i zakup biletów tam i z powrotem. W przypadku biletów PKP – II klasa pociąg osobowy/pospieszny; bilet/y ze stacji Rzeszów Główny do stacji docelowej oraz bilet/y powrotny na tej samej trasie. Dla biletów autobusowych: wyjazd z dworca autobusowego w Rzeszowie do miejsca docelowego oraz powrót na tej samej trasie. Wcześniej zakupione bilety należy dostarczyć studentom najpóźniej na dzień przed wyjazdem z Rzeszowa i z powrotem do Rzeszowa.</w:t>
      </w:r>
    </w:p>
    <w:p w:rsidR="00C45DBA" w:rsidRPr="00D65AE8" w:rsidRDefault="00C45DBA" w:rsidP="0007464C">
      <w:pPr>
        <w:pStyle w:val="Tekstpodstawowy"/>
        <w:rPr>
          <w:lang w:val="pl-PL" w:eastAsia="pl-PL"/>
        </w:rPr>
      </w:pPr>
      <w:r w:rsidRPr="000B7C48">
        <w:rPr>
          <w:lang w:val="pl-PL" w:eastAsia="pl-PL"/>
        </w:rPr>
        <w:t>Należy przedłożyć Zamawiającemu kserokopię poniesionych w tym zakresie wydatków.</w:t>
      </w:r>
    </w:p>
    <w:p w:rsidR="00C45DBA" w:rsidRPr="000B7C48" w:rsidRDefault="00C45DBA" w:rsidP="0007464C">
      <w:pPr>
        <w:pStyle w:val="Tekstpodstawowy"/>
        <w:rPr>
          <w:rFonts w:eastAsia="Calibri"/>
          <w:b/>
        </w:rPr>
      </w:pPr>
      <w:r w:rsidRPr="000B7C48">
        <w:rPr>
          <w:rFonts w:eastAsia="Calibri"/>
          <w:b/>
          <w:lang w:val="pl-PL"/>
        </w:rPr>
        <w:t>6</w:t>
      </w:r>
      <w:r w:rsidRPr="000B7C48">
        <w:rPr>
          <w:rFonts w:eastAsia="Calibri"/>
          <w:b/>
        </w:rPr>
        <w:t>. UBEZPIECZENIE NNW</w:t>
      </w:r>
    </w:p>
    <w:p w:rsidR="00C45DBA" w:rsidRPr="00D65AE8" w:rsidRDefault="00C45DBA" w:rsidP="00D65AE8">
      <w:pPr>
        <w:pStyle w:val="Tekstpodstawowy"/>
        <w:spacing w:after="0"/>
        <w:rPr>
          <w:color w:val="000000" w:themeColor="text1"/>
          <w:lang w:val="pl-PL" w:eastAsia="pl-PL"/>
        </w:rPr>
      </w:pPr>
      <w:r w:rsidRPr="000B7C48">
        <w:rPr>
          <w:b/>
          <w:color w:val="000000" w:themeColor="text1"/>
          <w:lang w:val="pl-PL" w:eastAsia="pl-PL"/>
        </w:rPr>
        <w:t xml:space="preserve">Wspólny Słownik Zamówień: </w:t>
      </w:r>
      <w:r w:rsidRPr="000B7C48">
        <w:rPr>
          <w:color w:val="000000" w:themeColor="text1"/>
          <w:lang w:val="pl-PL" w:eastAsia="pl-PL"/>
        </w:rPr>
        <w:t>66512000-2 - Usługi ubezpieczeń od następstw nieszczęśliwych wypadków i ubezpieczeń zdrowotnych</w:t>
      </w:r>
    </w:p>
    <w:p w:rsidR="00C45DBA" w:rsidRPr="000B7C48" w:rsidRDefault="00C45DBA" w:rsidP="0007464C">
      <w:pPr>
        <w:pStyle w:val="Tekstpodstawowy"/>
        <w:rPr>
          <w:lang w:val="pl-PL" w:eastAsia="pl-PL"/>
        </w:rPr>
      </w:pPr>
      <w:r w:rsidRPr="000B7C48">
        <w:rPr>
          <w:lang w:val="pl-PL" w:eastAsia="pl-PL"/>
        </w:rPr>
        <w:t>Na czas realizacji każdego szkolenia należy wykupić studentom polisę NNW o wartości min 15 000 zł na cały czas trwania szkolenia (ważną w dniach jego realizacji).</w:t>
      </w:r>
    </w:p>
    <w:p w:rsidR="00C45DBA" w:rsidRPr="000B7C48" w:rsidRDefault="00C45DBA" w:rsidP="0007464C">
      <w:pPr>
        <w:pStyle w:val="Tekstpodstawowy"/>
        <w:rPr>
          <w:lang w:val="pl-PL" w:eastAsia="pl-PL"/>
        </w:rPr>
      </w:pPr>
      <w:r w:rsidRPr="000B7C48">
        <w:rPr>
          <w:lang w:val="pl-PL" w:eastAsia="pl-PL"/>
        </w:rPr>
        <w:t>Należy przedłożyć Zamawiającemu kserokopię polisy.</w:t>
      </w:r>
    </w:p>
    <w:p w:rsidR="00C45DBA" w:rsidRPr="000B7C48" w:rsidRDefault="00C45DBA" w:rsidP="0007464C">
      <w:pPr>
        <w:rPr>
          <w:rFonts w:ascii="Times New Roman" w:hAnsi="Times New Roman" w:cs="Times New Roman"/>
        </w:rPr>
      </w:pPr>
      <w:r w:rsidRPr="000B7C48">
        <w:rPr>
          <w:rFonts w:ascii="Times New Roman" w:hAnsi="Times New Roman" w:cs="Times New Roman"/>
          <w:b/>
          <w:lang w:eastAsia="pl-PL"/>
        </w:rPr>
        <w:t>Zamawiający nie dopuszcza składania ofert wariantowych</w:t>
      </w:r>
      <w:r w:rsidRPr="000B7C48">
        <w:rPr>
          <w:rFonts w:ascii="Times New Roman" w:hAnsi="Times New Roman" w:cs="Times New Roman"/>
          <w:lang w:eastAsia="pl-PL"/>
        </w:rPr>
        <w:t>.</w:t>
      </w:r>
    </w:p>
    <w:sectPr w:rsidR="00C45DBA" w:rsidRPr="000B7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D37D9"/>
    <w:multiLevelType w:val="hybridMultilevel"/>
    <w:tmpl w:val="97121FC0"/>
    <w:lvl w:ilvl="0" w:tplc="B3A20550">
      <w:start w:val="1"/>
      <w:numFmt w:val="decimal"/>
      <w:lvlText w:val="%1."/>
      <w:lvlJc w:val="left"/>
      <w:pPr>
        <w:ind w:left="720" w:hanging="360"/>
      </w:pPr>
      <w:rPr>
        <w:rFonts w:hint="default"/>
        <w:lang w:val="en-U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713716"/>
    <w:multiLevelType w:val="hybridMultilevel"/>
    <w:tmpl w:val="EEB64D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02"/>
    <w:rsid w:val="0007464C"/>
    <w:rsid w:val="000B7C48"/>
    <w:rsid w:val="0023519A"/>
    <w:rsid w:val="00464FD9"/>
    <w:rsid w:val="00542802"/>
    <w:rsid w:val="00593683"/>
    <w:rsid w:val="005A6046"/>
    <w:rsid w:val="005B0B96"/>
    <w:rsid w:val="00783621"/>
    <w:rsid w:val="00AF7BF9"/>
    <w:rsid w:val="00C45DBA"/>
    <w:rsid w:val="00C651B4"/>
    <w:rsid w:val="00D65AE8"/>
    <w:rsid w:val="00E30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42605-8858-4C11-AA7E-69C7F905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45DBA"/>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C45DBA"/>
    <w:rPr>
      <w:rFonts w:ascii="Times New Roman" w:eastAsia="Times New Roman" w:hAnsi="Times New Roman" w:cs="Times New Roman"/>
      <w:sz w:val="24"/>
      <w:szCs w:val="24"/>
      <w:lang w:val="x-none" w:eastAsia="x-none"/>
    </w:rPr>
  </w:style>
  <w:style w:type="paragraph" w:customStyle="1" w:styleId="pnx-block-2x">
    <w:name w:val="pnx-block-2x"/>
    <w:basedOn w:val="Normalny"/>
    <w:rsid w:val="00C45D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rsid w:val="000B7C4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0B7C48"/>
    <w:rPr>
      <w:rFonts w:ascii="Times New Roman" w:eastAsia="Times New Roman" w:hAnsi="Times New Roman" w:cs="Times New Roman"/>
      <w:sz w:val="20"/>
      <w:szCs w:val="20"/>
      <w:lang w:eastAsia="pl-PL"/>
    </w:rPr>
  </w:style>
  <w:style w:type="paragraph" w:customStyle="1" w:styleId="p2">
    <w:name w:val="p2"/>
    <w:basedOn w:val="Normalny"/>
    <w:rsid w:val="000B7C4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A60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6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12731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2</cp:revision>
  <cp:lastPrinted>2019-04-02T10:04:00Z</cp:lastPrinted>
  <dcterms:created xsi:type="dcterms:W3CDTF">2019-04-02T11:42:00Z</dcterms:created>
  <dcterms:modified xsi:type="dcterms:W3CDTF">2019-04-02T11:42:00Z</dcterms:modified>
</cp:coreProperties>
</file>