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FF" w:rsidRDefault="00E16F7F">
      <w:pPr>
        <w:tabs>
          <w:tab w:val="right" w:pos="8842"/>
        </w:tabs>
        <w:spacing w:after="2837"/>
        <w:ind w:left="0" w:firstLine="0"/>
        <w:jc w:val="left"/>
      </w:pPr>
      <w:bookmarkStart w:id="0" w:name="_GoBack"/>
      <w:bookmarkEnd w:id="0"/>
      <w:r>
        <w:t>prof. dr hab. inż. Roman Staniek</w:t>
      </w:r>
      <w:r>
        <w:tab/>
        <w:t>Poznań, 18.08.2021.</w:t>
      </w:r>
    </w:p>
    <w:p w:rsidR="00517EFF" w:rsidRDefault="00E16F7F">
      <w:pPr>
        <w:spacing w:after="366"/>
        <w:ind w:left="1474" w:right="1469"/>
      </w:pPr>
      <w:r>
        <w:t>RECENZJA CAŁOKSZTAŁTU DOROBKU NAUKOWEGO w postępowaniu habilitacyjnym dr. inż. Marka MAGDZIAKA prowadzonym przez Radę Dyscypliny Inżynieria Mechaniczna Politechniki Rzeszowskiej im. Ignacego Łukasiewicza w dyscyplinie inżynieria mechaniczna</w:t>
      </w:r>
    </w:p>
    <w:p w:rsidR="00517EFF" w:rsidRDefault="00E16F7F">
      <w:pPr>
        <w:spacing w:after="48" w:line="248" w:lineRule="auto"/>
        <w:ind w:left="1272" w:right="1199" w:hanging="10"/>
        <w:jc w:val="center"/>
      </w:pPr>
      <w:r>
        <w:t>wykonana na podstawie pisma Przewodniczącego Rady Dyscypliny Inżynieria Mechaniczna</w:t>
      </w:r>
    </w:p>
    <w:p w:rsidR="00517EFF" w:rsidRDefault="00E16F7F">
      <w:pPr>
        <w:spacing w:after="30"/>
        <w:ind w:left="653" w:right="667" w:firstLine="101"/>
      </w:pPr>
      <w:r>
        <w:t>Politechniki Rzeszowskiej im. Ignacego Łukasiewicza nr RM/531-03-05/2020 z dnia 30 października 2020 roku w oparciu o Uchwałę Nr 01/10/2020 Rady Dyscypliny Inżynieria Mechaniczna</w:t>
      </w:r>
    </w:p>
    <w:p w:rsidR="00517EFF" w:rsidRDefault="00E16F7F">
      <w:pPr>
        <w:spacing w:after="410" w:line="248" w:lineRule="auto"/>
        <w:ind w:left="625" w:right="274" w:hanging="303"/>
        <w:jc w:val="center"/>
      </w:pPr>
      <w:r>
        <w:t>Politechniki Rzeszowskiej im. Ignacego Łukasiewicza z dnia 28 października 2020 roku i pisma Rady Doskonałości Naukowej nr Z2.4000.31.2020.3.BR z dnia 29 września 2020 roku oraz przysłanej dokumentacji</w:t>
      </w:r>
    </w:p>
    <w:p w:rsidR="00517EFF" w:rsidRDefault="00E16F7F">
      <w:pPr>
        <w:spacing w:after="146" w:line="248" w:lineRule="auto"/>
        <w:ind w:left="1272" w:right="1252" w:hanging="10"/>
        <w:jc w:val="center"/>
      </w:pPr>
      <w:r>
        <w:t>OCENA OSIĄGNIECIA NAUKOWEGO</w:t>
      </w:r>
    </w:p>
    <w:p w:rsidR="00517EFF" w:rsidRDefault="00E16F7F">
      <w:pPr>
        <w:ind w:left="19" w:right="71"/>
      </w:pPr>
      <w:r>
        <w:t>Habilitant jako podstawę do ubiegania się o stopień naukowy doktora habilitowanego wskazał cykl powiązanych tematycznie 9 artykułów naukowych (Zał. III). Wspólny tytuł osiągnięcia naukowego brzmi: Wybrane zagadnienia planowania strategii stykowych pomiarów współrzędnościowych powierzchni krzywoliniowych wyrobów i dotyczy wybranych elementów strategii stykowych pomiarów współrzędnościowych krzywoliniowych, złożonych powierzchni skomplikowanych elementów i gotowych wyrobów. Kandydat przeanalizował różne metody obliczania odchyłek kształtu oraz współrzędnych skorygowanych punktów pomiarowych, które są generowane na podstawie ich zaobserwowanych odpowiedników w procesie korekcji promieniowej i określił ich wpływ na końcowe rezultaty pomiarów powierzchni swobodnych. W analizie uwzględniał wpływ prędkości pomiarów oraz liczbę punktówoomiarowych przyjętych w czasie pomiarów stykowych skaningowych na wyniki pomiarów współrzędnościowych powierzchni krzywoliniowych. W cyklu tym zaprezentował także zupełnie nowe, autorskie metody obliczania odChyłek kształtu oraz definiowania lokalizacji punktów pomiarowych na powierzchniach krzywoliniowych.</w:t>
      </w:r>
    </w:p>
    <w:p w:rsidR="00517EFF" w:rsidRDefault="00E16F7F">
      <w:pPr>
        <w:ind w:left="19" w:right="71"/>
      </w:pPr>
      <w:r>
        <w:lastRenderedPageBreak/>
        <w:t>W pierwszym (autorskim, IF-0,914) artykule Kandydat przedstawił i opisał nową metodę obliczania odchyłek kształtu przydatną w przypadku pomiarów współrzędnościowych. Bazuje ona na interpolacji skorygowanych punktów pomiarowych reprezentujących rzeczywisty kształt mierzonego elementu krzywymi Czebyszewa i Lagrange'a, dzieląc skorygowane punkty pomiarowe na 5-cio elementowe grupy, które są następnie interpolowane krzywymi czwartego stopnia. Dalej obliczane są odchyłki pomiędzy punktami nominalnymi i wynikającymi z przecięcia krzywych interpolujących skorygowane punkty pomiarowe z prostymi prostopadłymi do mierzonego profilu i przechodzącymi przez punkty nominalne. Przedstawiono w tym artykule wyniki badań symulacyjnych i doświadczalnych, które potwierdziły zalety nowej metody, m. in. w stosunku do metody N. Główną jej zaletą jest możliwość stosowania w warunkach produkcyjnych, dzięki łatwej implementacji w komercyjnych powszechnie stosowanych programach metrologicznych, np. Calypso (Carl Zeiss).</w:t>
      </w:r>
    </w:p>
    <w:p w:rsidR="00517EFF" w:rsidRDefault="00E16F7F">
      <w:pPr>
        <w:spacing w:after="59"/>
        <w:ind w:left="19" w:right="5"/>
      </w:pPr>
      <w:r>
        <w:rPr>
          <w:noProof/>
        </w:rPr>
        <w:drawing>
          <wp:anchor distT="0" distB="0" distL="114300" distR="114300" simplePos="0" relativeHeight="251658240" behindDoc="0" locked="0" layoutInCell="1" allowOverlap="0">
            <wp:simplePos x="0" y="0"/>
            <wp:positionH relativeFrom="page">
              <wp:posOffset>7169378</wp:posOffset>
            </wp:positionH>
            <wp:positionV relativeFrom="page">
              <wp:posOffset>5325110</wp:posOffset>
            </wp:positionV>
            <wp:extent cx="6096" cy="6096"/>
            <wp:effectExtent l="0" t="0" r="0" b="0"/>
            <wp:wrapSquare wrapText="bothSides"/>
            <wp:docPr id="3487" name="Picture 3487"/>
            <wp:cNvGraphicFramePr/>
            <a:graphic xmlns:a="http://schemas.openxmlformats.org/drawingml/2006/main">
              <a:graphicData uri="http://schemas.openxmlformats.org/drawingml/2006/picture">
                <pic:pic xmlns:pic="http://schemas.openxmlformats.org/drawingml/2006/picture">
                  <pic:nvPicPr>
                    <pic:cNvPr id="3487" name="Picture 3487"/>
                    <pic:cNvPicPr/>
                  </pic:nvPicPr>
                  <pic:blipFill>
                    <a:blip r:embed="rId7"/>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6949908</wp:posOffset>
            </wp:positionH>
            <wp:positionV relativeFrom="page">
              <wp:posOffset>5593346</wp:posOffset>
            </wp:positionV>
            <wp:extent cx="9144" cy="6096"/>
            <wp:effectExtent l="0" t="0" r="0" b="0"/>
            <wp:wrapSquare wrapText="bothSides"/>
            <wp:docPr id="3488" name="Picture 3488"/>
            <wp:cNvGraphicFramePr/>
            <a:graphic xmlns:a="http://schemas.openxmlformats.org/drawingml/2006/main">
              <a:graphicData uri="http://schemas.openxmlformats.org/drawingml/2006/picture">
                <pic:pic xmlns:pic="http://schemas.openxmlformats.org/drawingml/2006/picture">
                  <pic:nvPicPr>
                    <pic:cNvPr id="3488" name="Picture 3488"/>
                    <pic:cNvPicPr/>
                  </pic:nvPicPr>
                  <pic:blipFill>
                    <a:blip r:embed="rId8"/>
                    <a:stretch>
                      <a:fillRect/>
                    </a:stretch>
                  </pic:blipFill>
                  <pic:spPr>
                    <a:xfrm>
                      <a:off x="0" y="0"/>
                      <a:ext cx="9144" cy="6096"/>
                    </a:xfrm>
                    <a:prstGeom prst="rect">
                      <a:avLst/>
                    </a:prstGeom>
                  </pic:spPr>
                </pic:pic>
              </a:graphicData>
            </a:graphic>
          </wp:anchor>
        </w:drawing>
      </w:r>
      <w:r>
        <w:t>Drugi artykuł (również autorski, IF-O,644) stanowi kontynuację pierwszego, z tym, że zawiera dużo więcej badań doświadczalnych potwierdzających zalety metody opisanej w artykule pierwszym. Kandydat opisał i ocenił w nim przydatność praktyczną 3 metod obliczeń odchyłek kształtu powierzchni swobodnych. Pierwsza metoda oznaczona literą N (komercyjna) bazuje na lokalnych odchyłkach kształtu obliczanych w punktach nominalnych. Druga metoda, oznaczona literą R, (komercyjna, wzorcowa, wykorzystywana jako referencyjna) jest metodą dokładniejszą i to do niej właśnie Autor porównuje właściwości swej własnej, metody oznaczonej symbolem L. Wyniki badań potwierdzają, w sposób jednoznaczny pozytywny wpływ przyjętej przez Autora strategii pomiarowej w zakresie stosowanych prędkości skanowania oraz liczby punktów pomiarowych na wartość odchyłek kształtu, które uzyskano w pierwszej metodzie N. Dodatkowo, Kandydat zaproponował modyfikację metody N, polegającą na korekcji zbiorów nominalnych punktów pomiarowych w związku z błędnym kształtem krzywej reprezentującej punkty pomiarowe wynikającej z niewłaściwego dostosowania czasu maskowania punktów pomiarowych. W efekcie końcowym uzyskano wyniki w metodzie N bardzo zbliżone do wyników metody referencyjnej R.</w:t>
      </w:r>
    </w:p>
    <w:p w:rsidR="00517EFF" w:rsidRDefault="00E16F7F">
      <w:pPr>
        <w:ind w:left="19"/>
      </w:pPr>
      <w:r>
        <w:t>W artykule trzecim (90% udziału własnego) opublikowanym w Mechaniku znajdujemy kolejne potwierdzenie doświadczalne rozważań zawartych w dwóch pierwszych artykułach. Przeprowadzono badania symulacyjne i doświadczalne dla innych powierzchni krzywoliniowych z wykorzystaniem także trzech metod obliczania odchyłek, czyli: N, R i L, którą w tym artykule oznaczono jako L-C. W tym przypadku najkorzystniejszą okazała się metoda R, natomiast metoda L-C lepsza od metody N.</w:t>
      </w:r>
    </w:p>
    <w:p w:rsidR="00517EFF" w:rsidRDefault="00E16F7F">
      <w:pPr>
        <w:spacing w:after="124"/>
        <w:ind w:left="19" w:right="71"/>
      </w:pPr>
      <w:r>
        <w:t xml:space="preserve">Kolejne cztery autorskie artykuły (100% udziału Kandydata, pozycje 4-7 wg wykazu) opublikowane zostały w 3 czasopismach posiadających Impact Factor (jeden z listy B) i dotyczą badania wpływu liczby i rozmieszczenia punktów pomiarowych na wyniki i czas pomiarów współrzędnościowych wybranych powierzchni krzywoliniowych. I tak , w artykule 4 (wykazu) analizowano wpływ liczby i rozmieszczenia punktów pomiarowych na wyniki pomiarów współrzędnościowych pióra łopatki. Kolejny artykuł (nr 5 wykazu) stanowi kontynuację artykułu poprzedniego i potwierdza duży wpływ przyjętej liczby punkłów pomiarowych oraz miejsc ich rozmieszczenia na wartości promieni krawędzi </w:t>
      </w:r>
      <w:r>
        <w:lastRenderedPageBreak/>
        <w:t>natarcia i spływu pióra łopatki. Promienie obliczano za pomocą oprogramowania Blade Pro oraz dopasowując okręgi do punktów pomiarowych pióra łopatki z użyciem elementu skojarzonego Gaussa oraz metody optymalizacji Fletcher'a - Reeves'a.</w:t>
      </w:r>
    </w:p>
    <w:p w:rsidR="00517EFF" w:rsidRDefault="00E16F7F">
      <w:pPr>
        <w:spacing w:after="119"/>
        <w:ind w:left="19" w:right="71"/>
      </w:pPr>
      <w:r>
        <w:rPr>
          <w:noProof/>
        </w:rPr>
        <w:drawing>
          <wp:anchor distT="0" distB="0" distL="114300" distR="114300" simplePos="0" relativeHeight="251660288" behindDoc="0" locked="0" layoutInCell="1" allowOverlap="0">
            <wp:simplePos x="0" y="0"/>
            <wp:positionH relativeFrom="page">
              <wp:posOffset>841305</wp:posOffset>
            </wp:positionH>
            <wp:positionV relativeFrom="page">
              <wp:posOffset>5642117</wp:posOffset>
            </wp:positionV>
            <wp:extent cx="9145" cy="9144"/>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9"/>
                    <a:stretch>
                      <a:fillRect/>
                    </a:stretch>
                  </pic:blipFill>
                  <pic:spPr>
                    <a:xfrm>
                      <a:off x="0" y="0"/>
                      <a:ext cx="9145" cy="9144"/>
                    </a:xfrm>
                    <a:prstGeom prst="rect">
                      <a:avLst/>
                    </a:prstGeom>
                  </pic:spPr>
                </pic:pic>
              </a:graphicData>
            </a:graphic>
          </wp:anchor>
        </w:drawing>
      </w:r>
      <w:r>
        <w:t>W szóstym artykule Kandydat przedstawił i opisał kolejną nową (drugą) metodę definiowania rozkładu punktów na powierzchniach krzywoliniowych mierzonych przedmiołów. Największą jej zaletą jest skrócenie czasu trwania stykowych pomiarów współrzędnościowych, przy zachowaniu dużej dokładności pomiarowej, co jest istotne w przypadku pomiarów produktów seryjnie produkowanych. Metoda składa się z 3 etapów i ma na celu wybór jak najmniejszej liczby położeń punktów spośród rozważanych modeli rozkładów. W tej metodzie lokalizacji punktów pomiarowych kluczowym jest etap trzeci w którym Autor zastosował metodę analizy AHP uwzględniając następujące kryteria: wielkość mierzonych odchyłek, czas pomiarów współrzędnościowych, liczbę punktów pomiarowych, dokładność modelu zastępczego oraz wielkość pola powierzchni modelu zastępczego. W wyniku zastosowania tej optymalizacji udało się w analizowanym przypadku zreduIłować czas pomiaru niemal czterokrotnie bez uszczerbku dla dokładności pomiaru.</w:t>
      </w:r>
    </w:p>
    <w:p w:rsidR="00517EFF" w:rsidRDefault="00E16F7F">
      <w:pPr>
        <w:ind w:left="19" w:right="71"/>
      </w:pPr>
      <w:r>
        <w:t>Artykuł nr 7 wykazu (100% udziału, IF 3,031) przedstawia kolejną nową metodę definiowania lokalizacji punktów pomiarowych na powierzchniach swobodnych, w której decydującym kryterium było użycie jak najmniejszej liczby punktów pomiarowych, które umożliwią uzyskanie wystarczającej informacji o jakości wykonania mierzonego wyrobu. Składa się z dwóch części i jest przeznaczona głównie do wykonywania pomiarów za pomocą głowic pracujących w trybie próbkowania punktowego. W pierwszym etapie określane są pozycje linii skanowania, wzdłuż których będą prowadzone pomiary z wykorzystaniem logiki rozmytej, a w drugim podejmowana będzie decyzja dotycząca liczby punkłów pomiarowych, również z wykorzystaniem logiki rozmytej, na podstawie analizy dokładności procesu korekcji promieniowej bazującej na krzywych Beziera (dwa systemy ekspertowe) oraz krzywych zastępczych reprezentujących mierzoną powierzchnię. Metoda ta została także zweryfikowana doświadczalnie. Jej zaletami są: indywidualne podejście do pomiarów podczas planowania strategii, wysoki poziom automatyzacji pomiarów, krótki czas pomiaru, możliwość pracy w systemie off-line, tzn. bez udziału WMP.</w:t>
      </w:r>
    </w:p>
    <w:p w:rsidR="00517EFF" w:rsidRDefault="00E16F7F">
      <w:pPr>
        <w:spacing w:after="178"/>
        <w:ind w:left="19" w:right="71"/>
      </w:pPr>
      <w:r>
        <w:t>Artykuł nr 8 (70% udziału) dotyczy trzeciej opracowanej przez Habilitanta metody lokalizacji punktów pomiarowych na powierzchniach krzywoliniowych wyrobów, umożliwia określenie pozycji linii skanowania i jest przeznaczona głównie dla głowic pomiarowych pracujących w trybie skanowania. Linie te są uzyskiwane w trybie komputerowej symulacji obróbki ubytkowej i strategii jej realizacji. Wynikiem symulacji jest mapa odchyłek importowana do tworzonego programu pomiarowego. Metoda i powstałe oprogramowanie mogą być łatwo implementowane w programach komercyjnych i podobnie jak w poprzednich umożliwi planowanie strategii pomiarowej w trybie off-line (bez udziału WMP), co jest ich główną zaletą.</w:t>
      </w:r>
    </w:p>
    <w:p w:rsidR="00517EFF" w:rsidRDefault="00E16F7F">
      <w:pPr>
        <w:ind w:left="19" w:right="71" w:firstLine="58"/>
      </w:pPr>
      <w:r>
        <w:rPr>
          <w:noProof/>
        </w:rPr>
        <w:drawing>
          <wp:inline distT="0" distB="0" distL="0" distR="0">
            <wp:extent cx="9145" cy="6096"/>
            <wp:effectExtent l="0" t="0" r="0" b="0"/>
            <wp:docPr id="8569" name="Picture 8569"/>
            <wp:cNvGraphicFramePr/>
            <a:graphic xmlns:a="http://schemas.openxmlformats.org/drawingml/2006/main">
              <a:graphicData uri="http://schemas.openxmlformats.org/drawingml/2006/picture">
                <pic:pic xmlns:pic="http://schemas.openxmlformats.org/drawingml/2006/picture">
                  <pic:nvPicPr>
                    <pic:cNvPr id="8569" name="Picture 8569"/>
                    <pic:cNvPicPr/>
                  </pic:nvPicPr>
                  <pic:blipFill>
                    <a:blip r:embed="rId10"/>
                    <a:stretch>
                      <a:fillRect/>
                    </a:stretch>
                  </pic:blipFill>
                  <pic:spPr>
                    <a:xfrm>
                      <a:off x="0" y="0"/>
                      <a:ext cx="9145" cy="6096"/>
                    </a:xfrm>
                    <a:prstGeom prst="rect">
                      <a:avLst/>
                    </a:prstGeom>
                  </pic:spPr>
                </pic:pic>
              </a:graphicData>
            </a:graphic>
          </wp:inline>
        </w:drawing>
      </w:r>
      <w:r>
        <w:t xml:space="preserve"> Ostatni, dziewiąty, ze zgłoszonych artykułów (50% udziału własnego, IF-2.582) poświęcony został strategii stykowych pomiarów współrzędnościowych, szczególnie zaś korekcji promieniowej, gdzie zadaniem jest obliczanie współrzędnych skorygowanych na </w:t>
      </w:r>
      <w:r>
        <w:lastRenderedPageBreak/>
        <w:t>podstawie ich zaobserwowanych odpowiedników, które reprezentują punkty środka końcówki trzpienia głowicy pomiarowej. Przeprowadzono szczegółowe badania symulacyjne, numeryczne dla modelu pióra łopatki składającego się z 4 elementów, 4 łuków okręgów reprezentujących części pióra, tj. krawędzie natarcia i spływu oraz części wklęsłej i wypukłej pióra łopatki dla różnych kombinacji. Dodatkowym efektem tych symulacji było zaproponowanie modelu pióra łopatki, który umożliwiał badanie różnych wariantów geometrycznych piór łopatek. 'W efekcie końcowym zaproponowano uniwersalny algorytm implementacji różnych metod korekcji promieniowej, nie tylko tych opisanych w artykule.</w:t>
      </w:r>
    </w:p>
    <w:p w:rsidR="00517EFF" w:rsidRDefault="00E16F7F">
      <w:pPr>
        <w:spacing w:after="157"/>
        <w:ind w:left="19" w:right="71"/>
      </w:pPr>
      <w:r>
        <w:rPr>
          <w:noProof/>
        </w:rPr>
        <w:drawing>
          <wp:anchor distT="0" distB="0" distL="114300" distR="114300" simplePos="0" relativeHeight="251661312" behindDoc="0" locked="0" layoutInCell="1" allowOverlap="0">
            <wp:simplePos x="0" y="0"/>
            <wp:positionH relativeFrom="page">
              <wp:posOffset>905317</wp:posOffset>
            </wp:positionH>
            <wp:positionV relativeFrom="page">
              <wp:posOffset>3121300</wp:posOffset>
            </wp:positionV>
            <wp:extent cx="12193" cy="9145"/>
            <wp:effectExtent l="0" t="0" r="0" b="0"/>
            <wp:wrapSquare wrapText="bothSides"/>
            <wp:docPr id="8570" name="Picture 8570"/>
            <wp:cNvGraphicFramePr/>
            <a:graphic xmlns:a="http://schemas.openxmlformats.org/drawingml/2006/main">
              <a:graphicData uri="http://schemas.openxmlformats.org/drawingml/2006/picture">
                <pic:pic xmlns:pic="http://schemas.openxmlformats.org/drawingml/2006/picture">
                  <pic:nvPicPr>
                    <pic:cNvPr id="8570" name="Picture 8570"/>
                    <pic:cNvPicPr/>
                  </pic:nvPicPr>
                  <pic:blipFill>
                    <a:blip r:embed="rId11"/>
                    <a:stretch>
                      <a:fillRect/>
                    </a:stretch>
                  </pic:blipFill>
                  <pic:spPr>
                    <a:xfrm>
                      <a:off x="0" y="0"/>
                      <a:ext cx="12193" cy="9145"/>
                    </a:xfrm>
                    <a:prstGeom prst="rect">
                      <a:avLst/>
                    </a:prstGeom>
                  </pic:spPr>
                </pic:pic>
              </a:graphicData>
            </a:graphic>
          </wp:anchor>
        </w:drawing>
      </w:r>
      <w:r>
        <w:t>Artykuły monotematycznego cyklu zostały opublikowane w renomowanych czasopismach zagranicznych i krajowych. Są to, m.in.: Journal of Mechanical Engineering (IF-0914, 2 artykuły), Precision Engineering OF-2,582), Sensors OF-3,031, 2 artykuły), Aircraft Engineering and Aerospace Technology OF-0,753) czy Mechanik (2).</w:t>
      </w:r>
    </w:p>
    <w:p w:rsidR="00517EFF" w:rsidRDefault="00E16F7F">
      <w:pPr>
        <w:spacing w:after="53"/>
        <w:ind w:left="451" w:right="71" w:firstLine="0"/>
      </w:pPr>
      <w:r>
        <w:t>Do istotnych indywidualnych osiągnięć naukowych Habilitanta zaliczam:</w:t>
      </w:r>
    </w:p>
    <w:p w:rsidR="00517EFF" w:rsidRDefault="00E16F7F">
      <w:pPr>
        <w:numPr>
          <w:ilvl w:val="0"/>
          <w:numId w:val="1"/>
        </w:numPr>
        <w:spacing w:after="54"/>
        <w:ind w:right="71" w:hanging="427"/>
      </w:pPr>
      <w:r>
        <w:t>Opracowanie nowej autorskiej metody obliczania odchyłek kształtu podczas pomiarów współrzędnościowych powierzchni swobodnych wyrobów, porównanie jej z innymi istniejącymi metodami, a także opracowanie sposobów poprawy dokładności metod istniejących ze szczególnym uwzględnieniem analizy wpływu różnych prędkości pomiarowych, liczb punktów oraz czasów maskowania punktów pomiarowych na strategie pomiarowe(pozycje 1-3).</w:t>
      </w:r>
    </w:p>
    <w:p w:rsidR="00517EFF" w:rsidRDefault="00E16F7F">
      <w:pPr>
        <w:numPr>
          <w:ilvl w:val="0"/>
          <w:numId w:val="1"/>
        </w:numPr>
        <w:spacing w:after="0"/>
        <w:ind w:right="71" w:hanging="427"/>
      </w:pPr>
      <w:r>
        <w:t>Określenie wpływu liczby punktów pomiarowych i miejsc ich rozmieszczenia na wyniki pomiarów współrzędnościowych pióra łopatki (pozycje 4 i 5).</w:t>
      </w:r>
    </w:p>
    <w:p w:rsidR="00517EFF" w:rsidRDefault="00E16F7F">
      <w:pPr>
        <w:numPr>
          <w:ilvl w:val="0"/>
          <w:numId w:val="1"/>
        </w:numPr>
        <w:spacing w:after="63"/>
        <w:ind w:right="71" w:hanging="427"/>
      </w:pPr>
      <w:r>
        <w:t>Opracowanie nowej metody lokalizacji punktów pomiarowych bazującej na wielokryterialnej analizie problemów decyzyjnych, w tym na logice rozmytej, oraz metody rozkładu linii skanowania na powierzchniach swobodnych, opartej na wynikach symulacji obróbki ubytkowej wyrobu, a także ich weryfikacja numeryczna i doświadczalna (pozycje6-8).</w:t>
      </w:r>
    </w:p>
    <w:p w:rsidR="00517EFF" w:rsidRDefault="00E16F7F">
      <w:pPr>
        <w:numPr>
          <w:ilvl w:val="0"/>
          <w:numId w:val="1"/>
        </w:numPr>
        <w:ind w:right="71" w:hanging="427"/>
      </w:pPr>
      <w:r>
        <w:t>Opracowanie metodologii badań symulacyjnych dotyczących korekcji promieniowej w stykowych pomiarach współrzędnościowych złożonych powierzchni, wybór najlep-</w:t>
      </w:r>
    </w:p>
    <w:p w:rsidR="00517EFF" w:rsidRDefault="00E16F7F">
      <w:pPr>
        <w:spacing w:after="182"/>
        <w:ind w:left="422" w:right="71" w:firstLine="43"/>
      </w:pPr>
      <w:r>
        <w:t>szej metody na przykładzie pióra łopatki i opracowanie algorytmu implementacji różnych metod korekcji promieniowej do oprogramowania komercyjnego (pozycja 9). Uwaga! Habilitant dopuścił się w autoreferacie pewnej niezręczności. Otóž na stronie 24 i 25 wymienił, które osiągniecia on uważa za najważniejsze. Moim zdaniem jest to nie tylko nieeleganckie, ale niedopuszczalne. Nie można być sędzią we własnej sprawie. Nie można sugerować odpowiedzi recenzentom, bo w ten sposób okazuje się im nie tylko brak szacunku, ale poddaje się wątpliwości ich kompetencje. Zadaniem Kandydata jest merytoryczne, precyzyjne przedstawienie wyników swoich badań, analiz, dociekań, a nie ich ocena. Myślę, że więcej tego błędu Habilitantjuž nie popełni, a informacją tą podzieli się z młodszymi kolegami.</w:t>
      </w:r>
    </w:p>
    <w:p w:rsidR="00517EFF" w:rsidRDefault="00E16F7F">
      <w:pPr>
        <w:spacing w:after="112"/>
        <w:ind w:left="19" w:right="71"/>
      </w:pPr>
      <w:r>
        <w:t xml:space="preserve">Przedstawione do recenzji publikacje były realizowane w latach 2016 — 2019. Na szczególną uwagę zasługuje fakt, że, sześć z nich to publikacje samodzielne Habilitanta, dwie z Jego dominującym udziałem (70% i 90%) i jedna z 50% udziałem. Sumaryczny lmpact </w:t>
      </w:r>
      <w:r>
        <w:lastRenderedPageBreak/>
        <w:t>Factor wg WOS dla tej części zgłoszonego dorobku Autora wynosi ogółem 10,955, w tym, aż 9,664 to Jego indywidualny wkład.</w:t>
      </w:r>
    </w:p>
    <w:p w:rsidR="00517EFF" w:rsidRDefault="00E16F7F">
      <w:pPr>
        <w:spacing w:after="123"/>
        <w:ind w:left="19" w:right="71"/>
      </w:pPr>
      <w:r>
        <w:t>Opiniowany cykl publikacji wnosi nowe, istotne wartości do naszej wiedzy o planowaniu strategii stykowych pomiarów współrzędnościowych krzywoliniowych powierzchni części i wyrobów, a także stanowi swoistą bazę do zwiększenia efektywności tych pomiarów przez zmniejszenie niepewności pomiaru i czasu jego trwania, m. in. dzięki programowaniu strategii już na wcześniejszym etapie procesu wytwarzania, np. przy tworzeniu dokumentacji konstrukcyjno-technologicznej w trybie off-line.</w:t>
      </w:r>
    </w:p>
    <w:p w:rsidR="00517EFF" w:rsidRDefault="00E16F7F">
      <w:pPr>
        <w:spacing w:after="246"/>
        <w:ind w:left="19" w:right="71" w:firstLine="504"/>
      </w:pPr>
      <w:r>
        <w:t>Podsumowując osiągnięcie naukowe w postaci cyklu publikacji pt. Wybrane zagadnienia planowania strategii stykowych pomiarów współrzędnościowych powierzchni krzywoliniowych wyrobów stwierdzam, że stanowi on wartościowy dorobek naukowy Habilitanta i dowodzi Jego dużej samodzielności umiejętnościach w formułowaniu i rozwiązywaniu zadań naukowo-badawczych z tego obszaru.</w:t>
      </w:r>
    </w:p>
    <w:p w:rsidR="00517EFF" w:rsidRDefault="00E16F7F">
      <w:pPr>
        <w:pStyle w:val="Nagwek1"/>
        <w:spacing w:after="157"/>
        <w:jc w:val="center"/>
      </w:pPr>
      <w:r>
        <w:t>OCENA ISTOTNEJ AKTYWNOŚCI NAUKOWEJ</w:t>
      </w:r>
    </w:p>
    <w:p w:rsidR="00517EFF" w:rsidRDefault="00E16F7F">
      <w:pPr>
        <w:ind w:left="19" w:right="71"/>
      </w:pPr>
      <w:r>
        <w:t>Pan dr inż. Marek Magdziak studiował w latach 1999-2004 na Wydziale Budowy Maszyn i Lotnictwa Politechniki Rzeszowskiej. W latach 2004-2008 odbył studia doktoranckie na tym samym Wydziale. Pracę doktorską pt. Metoda pomiaru powierzchni swobodnych na obrabiarce sterowanej numerycznie obronił w 2012 roku z wyróżnieniem. Jej promotorem był dr hab. inż. Andrzej Kawalec, a recenzentami: prof. J. Gawlik i prof. P. Pawlus. W latach 2005-2012 pracował na stanowisku asystenta w Katedrze Technik Wytwarzania i Automatyzacji Politechniki Rzeszowskiej, a od roku 2012 do chwili obecnej pracuje na stanowisku adiunkta w tej samej Katedrze.</w:t>
      </w:r>
    </w:p>
    <w:p w:rsidR="00517EFF" w:rsidRDefault="00E16F7F">
      <w:pPr>
        <w:spacing w:after="162"/>
        <w:ind w:left="19" w:right="71"/>
      </w:pPr>
      <w:r>
        <w:t>Aktywność naukowa Kandydata nie ogranicza się tylko do dorobku naukowego wskazanego jako główne osiągnięcie naukowe. Przed uzyskaniem stopnia doktora Kandydat opublikował jeden współautorki rozdział w monografii, 10 artykułów naukowych w większości współautorskich z promotorem w uznanych czasopismach krajowych takich jak Mechanik (4), Pomiary Automatyka Kontrola (2), Advances in Manufacturing Science and Technology (3), Przegląd Mechaniczny (1). Tematyka tych artykułów była ściśle związana z techniką pomiarów na współrzędnościowych maszynach pomiarowych. Tematykę prezentował na 3 międzynarodowych konferencjach w kraju i 5 konferencjach krajowych. Był także wykonawcą w projekcie promotorskim nr N N503 173737.</w:t>
      </w:r>
    </w:p>
    <w:p w:rsidR="00517EFF" w:rsidRDefault="00E16F7F">
      <w:pPr>
        <w:ind w:left="19" w:right="71"/>
      </w:pPr>
      <w:r>
        <w:t>Po uzyskaniu stopnia dr. nauk technicznych Kandydat znacznie powiększył swój dorobek naukowy i publikacyjny Jest współautorem rozdziału w monografii (wyd. Springer) oraz 22 artykułów niewymienionych w pkt.1.2 wniosku. Tych artykułów jest 19, ponieważ 3 z nich Autor błędnie zakwalifikował (są to materiały z uznanych światowych konferencji). Były one publikowane w znaczących czasopismach takich jak: Procedia CIRP (4), Applied Mechanics and Materials, (2), Mechanik (7), Pomiary Automatyka Kontrola czy Stal Metale &amp; Nowe Technologie.</w:t>
      </w:r>
    </w:p>
    <w:p w:rsidR="00517EFF" w:rsidRDefault="00E16F7F">
      <w:pPr>
        <w:ind w:left="19" w:right="71"/>
      </w:pPr>
      <w:r>
        <w:t xml:space="preserve">Brał czynny udział w 9 konferencjach międzynarodowych o światowym zasięgu, m.in. w Chinach, Hiszpanii, Rumunii, Włoszech i Portugali oraz 5-krotnie w krajowych konferencjachUczestniczył w 3 projektach badawczych (w 1 był kierownikiem). </w:t>
      </w:r>
      <w:r>
        <w:lastRenderedPageBreak/>
        <w:t>Wielokrotnie recenzował prace naukowo badawcze dla renomowanych czasopism. I tak dla Measurement wykonał 9 recenzji, dla Sensors — 3 recenzje, dla Mechanika — 18, dla Robotics and Computer-lntegrated Manufacturing, Applied Science, Materials i Strojnicki Vestnik po jednej, oraz 9 recenzji referatów konferencyjnych.</w:t>
      </w:r>
    </w:p>
    <w:p w:rsidR="00517EFF" w:rsidRDefault="00E16F7F">
      <w:pPr>
        <w:ind w:left="19" w:right="71"/>
      </w:pPr>
      <w:r>
        <w:t>Współpracował także z przemysłem. Wykonał, jako kierownik, 2 prace badawcze na zlecenie firm METAL-EXPRES sp. z o. o. oraz FOX FITTINGS sp. z 0. 0. Odbyt 2 staże przemysłowe oraz prowadził szkolenia z zakresu techniki pomiarów dla firm Podkarpacia m.in. dla Pratt &amp; Whitney Rzeszów S.A., a także z zakresu komputerowego wspomagania projektowania CATIA V5, dla 25 grup na łączną ilość ponad 1000 godzin.</w:t>
      </w:r>
    </w:p>
    <w:p w:rsidR="00517EFF" w:rsidRDefault="00E16F7F">
      <w:pPr>
        <w:ind w:left="19" w:right="71"/>
      </w:pPr>
      <w:r>
        <w:t>Natomiast, niestety, w wykazie dorobku Habilitanta zwraca uwagę brak patentów, czy zgłoszeń, które kojarzone są z działalnością innowacyjną ...</w:t>
      </w:r>
    </w:p>
    <w:p w:rsidR="00517EFF" w:rsidRDefault="00E16F7F">
      <w:pPr>
        <w:spacing w:after="0"/>
        <w:ind w:left="19" w:right="71"/>
      </w:pPr>
      <w:r>
        <w:t>Sumaryczny Impact Factor publikacji wyszczególnionych w monotematycznym zgłoszonym cyklu (habilitacyjnym) wg Web of Science wynosi 10,995, przy czym 9,664 to Jego indywidualny wkład, natomiast łączny Impact Factor wszystkich publikacji wynosi 12,085. Liczba cytowań wg WOS wynosi ogółem 60, w tym 39 bez autocytowań, wg bazy Scopus 80, w tym bez autocytowań 51. Index Hirscha wg bazy WOS wynosi 5 a liczba indeksowanych prac 17 i odpowiednio w bazie Scopus index Hirscha 6 a liczba indeksowanych prac</w:t>
      </w:r>
    </w:p>
    <w:p w:rsidR="00517EFF" w:rsidRDefault="00E16F7F">
      <w:pPr>
        <w:spacing w:after="114" w:line="259" w:lineRule="auto"/>
        <w:ind w:left="9" w:hanging="10"/>
        <w:jc w:val="left"/>
      </w:pPr>
      <w:r>
        <w:rPr>
          <w:rFonts w:ascii="Times New Roman" w:eastAsia="Times New Roman" w:hAnsi="Times New Roman" w:cs="Times New Roman"/>
        </w:rPr>
        <w:t>23.</w:t>
      </w:r>
    </w:p>
    <w:p w:rsidR="00517EFF" w:rsidRDefault="00E16F7F">
      <w:pPr>
        <w:ind w:left="19" w:right="71"/>
      </w:pPr>
      <w:r>
        <w:t>Wymienione powyżej wskaźniki bibliometryczne są bardzo przyzwoite, zwłaszcza szacunek budzi duża samodzielność publikacji Autora duży wkład własnynajwyższe, ale zważywszy na oceniany okres (wskaźniki liczą się od niedawna) oraz rozmiar dorobku publikacyjnego i w zakresie innowacji są one w wystarczającej mierze kompensowane.</w:t>
      </w:r>
    </w:p>
    <w:p w:rsidR="00517EFF" w:rsidRDefault="00E16F7F">
      <w:pPr>
        <w:pStyle w:val="Nagwek1"/>
        <w:spacing w:after="91"/>
        <w:ind w:left="29" w:right="0"/>
      </w:pPr>
      <w:r>
        <w:t>Aktywność naukowa międzynarodowa</w:t>
      </w:r>
    </w:p>
    <w:p w:rsidR="00517EFF" w:rsidRDefault="00E16F7F">
      <w:pPr>
        <w:spacing w:after="135"/>
        <w:ind w:left="19" w:right="71"/>
      </w:pPr>
      <w:r>
        <w:t>Habilitant w 2018 roku odbył dwa staże badawcze w University of Stavanger w Norwegii w ramach projektu pt.: Ocena nowej metody określania lokalizacji punktów pomiarowych na powierzchniach krzywoliniowych realizowanego w latach 2018 — 2019 w ramach projektu MINIATURA I finansowanego przez NCN. Nawiązał tam współpracę z prof. R. M. Chandima Ratnayake, która zaowocowała trzema znaczącymi publikacjami. W 2015 roku zaliczył trzydniowy pobyt w Norwegian University of Science and Technology w Trondheim, gdzie nawiązał współpracę z prof. Knutem Sorby. W kontekście aktywności zagranicznej Kandydata należy wspomnieć o wykładach prowadzonych w języku angielskim w szeregu europejskich uczelniach, m.in. w Norwegii (Trondthaim, Stavanger), Austrii (Wiedeń), Grecji (Ateny), Hiszpanii (Oviedo), Ukrainy (Lwów) i Litwy (Wilno). W podsumowaniu należy stwierdzić, że obszar zagranicznej aktywności naukowej Kandydata jest raczej skromny, ale dość skuteczny (3 publikacje). Ponadto, Jego pozycję międzynarodową wzmacniają liczne wykłady na uznanych uniwersytetach Europy w ramach programu Erazmus i dlatego aktywność tę można uznać za wystarczają.</w:t>
      </w:r>
    </w:p>
    <w:p w:rsidR="00517EFF" w:rsidRDefault="00E16F7F">
      <w:pPr>
        <w:pStyle w:val="Nagwek1"/>
        <w:ind w:left="29" w:right="0"/>
      </w:pPr>
      <w:r>
        <w:t>Udział w projektach badawczych i współpraca z przemysłem</w:t>
      </w:r>
    </w:p>
    <w:p w:rsidR="00517EFF" w:rsidRDefault="00E16F7F">
      <w:pPr>
        <w:ind w:left="19" w:right="71"/>
      </w:pPr>
      <w:r>
        <w:rPr>
          <w:noProof/>
        </w:rPr>
        <w:drawing>
          <wp:anchor distT="0" distB="0" distL="114300" distR="114300" simplePos="0" relativeHeight="251662336" behindDoc="0" locked="0" layoutInCell="1" allowOverlap="0">
            <wp:simplePos x="0" y="0"/>
            <wp:positionH relativeFrom="page">
              <wp:posOffset>6730437</wp:posOffset>
            </wp:positionH>
            <wp:positionV relativeFrom="page">
              <wp:posOffset>3078627</wp:posOffset>
            </wp:positionV>
            <wp:extent cx="6097" cy="3048"/>
            <wp:effectExtent l="0" t="0" r="0" b="0"/>
            <wp:wrapSquare wrapText="bothSides"/>
            <wp:docPr id="16376" name="Picture 16376"/>
            <wp:cNvGraphicFramePr/>
            <a:graphic xmlns:a="http://schemas.openxmlformats.org/drawingml/2006/main">
              <a:graphicData uri="http://schemas.openxmlformats.org/drawingml/2006/picture">
                <pic:pic xmlns:pic="http://schemas.openxmlformats.org/drawingml/2006/picture">
                  <pic:nvPicPr>
                    <pic:cNvPr id="16376" name="Picture 16376"/>
                    <pic:cNvPicPr/>
                  </pic:nvPicPr>
                  <pic:blipFill>
                    <a:blip r:embed="rId12"/>
                    <a:stretch>
                      <a:fillRect/>
                    </a:stretch>
                  </pic:blipFill>
                  <pic:spPr>
                    <a:xfrm>
                      <a:off x="0" y="0"/>
                      <a:ext cx="6097" cy="3048"/>
                    </a:xfrm>
                    <a:prstGeom prst="rect">
                      <a:avLst/>
                    </a:prstGeom>
                  </pic:spPr>
                </pic:pic>
              </a:graphicData>
            </a:graphic>
          </wp:anchor>
        </w:drawing>
      </w:r>
      <w:r>
        <w:t xml:space="preserve">Był wykonawcą w projekcie promotorskim nr N N503 173737 pt. Metoda pomiaru powierzchni swobodnych na obrabiarce sterowanej numerycznie realizowanym w latach 2011-2012 oraz kierownikiem projektu realizowanego w latach 2018 — 2019 w ramach </w:t>
      </w:r>
      <w:r>
        <w:lastRenderedPageBreak/>
        <w:t>MINIATURA I finansowanego przez NCN, pt. Ocena nowej metody określania lokalizacji punktów pomiarowych na powierzchniach krzywoliniowych. Skutkiem tego projektu było nawiązanie międzynarodowej współpracy z uniwersytetem w Stavanger oraz 3 publikacje. Współpracował z przemysłem. Kierował dwoma pracami badawczymi na zlecenie firm METAL-EXPRES sp. z o. o. oraz Fox FITTINGS sp. z o. 0.</w:t>
      </w:r>
    </w:p>
    <w:p w:rsidR="00517EFF" w:rsidRDefault="00E16F7F">
      <w:pPr>
        <w:ind w:left="19" w:right="71"/>
      </w:pPr>
      <w:r>
        <w:t>Ponadto, odbył 2 staże przemysłowe w ramach Programu Operacyjnego Kapitał Ludzki w latach 2014 — 2015.</w:t>
      </w:r>
    </w:p>
    <w:p w:rsidR="00517EFF" w:rsidRDefault="00E16F7F">
      <w:pPr>
        <w:ind w:left="19" w:right="71"/>
      </w:pPr>
      <w:r>
        <w:t>Jednak najszerszym polem Jego aktywności w tym obszarze były liczne szkolenia prowadzone w wielu firmach Podkarpacia, m. in. z: metrologii wielkości geometrycznych dla operatorów obrabiarek CNC, współrzędnościowej techniki pomiarowej, niepewności pomiaru, a także z zakresu komputerowego wspomagania projektowania CATIA 1/5, dla 25 grup na łączną ilość ponad 1000 godzin.</w:t>
      </w:r>
    </w:p>
    <w:p w:rsidR="00517EFF" w:rsidRDefault="00E16F7F">
      <w:pPr>
        <w:ind w:left="19" w:right="71"/>
      </w:pPr>
      <w:r>
        <w:t>Działalność naukowa dr. inż. Marka Magdziaka ma cechy utylitarne, tzn. wykorzystuje metody naukowe do przemysłowych aplikacji, a przedstawiona tematyka badań znajduje ścisłe odzwierciedlenie w Jego publikacjach naukowych. Szkoda, że nie znajduje ona przełożenia pomimo utylitarnego charakteru na liczniejsze projekty badawcze i komercyjną współpracę z przemysłem. Ten punkt dorobku Autora oceniam najsurowiej.</w:t>
      </w:r>
    </w:p>
    <w:p w:rsidR="00517EFF" w:rsidRDefault="00E16F7F">
      <w:pPr>
        <w:spacing w:after="130" w:line="248" w:lineRule="auto"/>
        <w:ind w:left="1272" w:right="878" w:hanging="10"/>
        <w:jc w:val="center"/>
      </w:pPr>
      <w:r>
        <w:t>INNE OSIĄGNIECIA</w:t>
      </w:r>
    </w:p>
    <w:p w:rsidR="00517EFF" w:rsidRDefault="00E16F7F">
      <w:pPr>
        <w:pStyle w:val="Nagwek1"/>
        <w:ind w:left="29" w:right="0"/>
      </w:pPr>
      <w:r>
        <w:t>Działalność dydaktyczna i popularyzatorska</w:t>
      </w:r>
    </w:p>
    <w:p w:rsidR="00517EFF" w:rsidRDefault="00E16F7F">
      <w:pPr>
        <w:spacing w:after="118"/>
        <w:ind w:left="19" w:right="71"/>
      </w:pPr>
      <w:r>
        <w:t>W czasie pracy na Politechnice Rzeszowskiej w latach 2005 — 2020 prowadził i nadal prowadzi zajęcia dydaktyczne łącznie z 16 przedmiotów w formie wykładów, laboratoriów, ćwiczeń i seminarium, nie tylko z metrologii, systemów pomiarowych, współrzędnościowej techniki pomiarowej, ale także z podstaw MES-u, systemów CAM, programowania obrabiarek CNC czy obróbki skrawaniem.</w:t>
      </w:r>
    </w:p>
    <w:p w:rsidR="00517EFF" w:rsidRDefault="00E16F7F">
      <w:pPr>
        <w:ind w:left="19" w:right="71"/>
      </w:pPr>
      <w:r>
        <w:t>Jest autorem skryptu pt.: CATIA V— Podstawy (153 s.) wydanego przez Oficynę Wydawniczą Politechniki Rzeszowskiej.</w:t>
      </w:r>
    </w:p>
    <w:p w:rsidR="00517EFF" w:rsidRDefault="00E16F7F">
      <w:pPr>
        <w:spacing w:after="0"/>
        <w:ind w:left="19" w:right="71"/>
      </w:pPr>
      <w:r>
        <w:t>Był promotorem w 25 pracach inżynierskich i 28 magisterskich oraz recenzentem w 25 inżynierskich i 5 magisterskich. Opracował koncepcję kształcenia w języku angielskim na Wydziale w 2012 roku. W latach 2013 —2019 prowadził szereg wykładów w języku angielSkim dotyczących metrologii wielkości geometrycznych, współrzędnościowej techniki pomiarowej, dokładności pomiarów oraz pomiarów powierzchni krzywoliniowych na Uniwersytetach Europy, takich jak: Norwegian University of Science and Technology w 2013 roku, Vienna University Of Technology w 2014, University of Stavanger w 2016, National Technical University of Athens w 2017, University of Oviedo w 2018, Ivan Franko National University of Lviv w 2019 czy Vilnius Gedyminas Technical University w 2019. Obecnie jest wykonawcą w międzynarodowym projekcie dydaktycznym Erasmus. W latach 2016 — 2017 pełnił opiekę nad kołem naukowym: Programowanie i Automatyzacja Obróbki, a obecnie udziela się w kole naukowym Formuła Student. W latach 2018 — 2020 pełnił funkcję kierownika praktyk studenckich dla kierunku Mechanika i budowa maszyn.</w:t>
      </w:r>
    </w:p>
    <w:p w:rsidR="00517EFF" w:rsidRDefault="00E16F7F">
      <w:pPr>
        <w:spacing w:after="151"/>
        <w:ind w:left="456" w:right="71" w:firstLine="0"/>
      </w:pPr>
      <w:r>
        <w:t>Działalność dydaktyczną Kandydata oceniam pozytywnie.</w:t>
      </w:r>
    </w:p>
    <w:p w:rsidR="00517EFF" w:rsidRDefault="00E16F7F">
      <w:pPr>
        <w:pStyle w:val="Nagwek1"/>
        <w:spacing w:after="81"/>
        <w:ind w:left="29" w:right="0"/>
      </w:pPr>
      <w:r>
        <w:lastRenderedPageBreak/>
        <w:t>Działalność organizacyjna</w:t>
      </w:r>
    </w:p>
    <w:p w:rsidR="00517EFF" w:rsidRDefault="00E16F7F">
      <w:pPr>
        <w:ind w:left="19" w:right="71"/>
      </w:pPr>
      <w:r>
        <w:t>Habilitant w latach 2007, 2010 i 2011 był członkiem Komisji Rekrutacyjnej ds. studiów niestacjonarnych na Wydziale BMiL. W latach 2013 — 2018 byt członkiem Wydziałowej Komisji ds. Zapewnienia Jakości Kształcenia na Wydziale Budowy Maszyn i Lotnictwa. W latach 2016-2019 był egzaminatorem egzaminu kompetencyjnego na Wydziale. Jest członkiem Komisji Prac Dyplomowych na studiach stacjonarnych drugiego stopnia na WBMiL.</w:t>
      </w:r>
    </w:p>
    <w:p w:rsidR="00517EFF" w:rsidRDefault="00E16F7F">
      <w:pPr>
        <w:spacing w:after="147"/>
        <w:ind w:left="19" w:right="71"/>
      </w:pPr>
      <w:r>
        <w:t>Kandyďat nie wyrywa sobie rękawów w pracy organizacyjnej, niestety nie jest to Jego najsilniejsza strona.</w:t>
      </w:r>
    </w:p>
    <w:p w:rsidR="00517EFF" w:rsidRDefault="00E16F7F">
      <w:pPr>
        <w:pStyle w:val="Nagwek1"/>
        <w:ind w:left="29" w:right="0"/>
      </w:pPr>
      <w:r>
        <w:t>Wyróżnienia i nagrody</w:t>
      </w:r>
    </w:p>
    <w:p w:rsidR="00517EFF" w:rsidRDefault="00E16F7F">
      <w:pPr>
        <w:spacing w:after="68"/>
        <w:ind w:left="19" w:right="71"/>
      </w:pPr>
      <w:r>
        <w:t>Pracę doktorską obronił z wyróżnieniem. Poza tym został uhonorowany następującymi nagrodami:</w:t>
      </w:r>
    </w:p>
    <w:p w:rsidR="00517EFF" w:rsidRDefault="00E16F7F">
      <w:pPr>
        <w:numPr>
          <w:ilvl w:val="0"/>
          <w:numId w:val="2"/>
        </w:numPr>
        <w:ind w:right="71" w:hanging="374"/>
      </w:pPr>
      <w:r>
        <w:t>Indywidualna nagroda 3 stopnia Rektora Politechniki Rzeszowskiej za cykl publikacji dotyczący metrologii wielkości geometrycznych, 2019.</w:t>
      </w:r>
    </w:p>
    <w:p w:rsidR="00517EFF" w:rsidRDefault="00E16F7F">
      <w:pPr>
        <w:spacing w:after="41"/>
        <w:ind w:left="355" w:right="71" w:hanging="5"/>
      </w:pPr>
      <w:r>
        <w:rPr>
          <w:noProof/>
        </w:rPr>
        <w:drawing>
          <wp:inline distT="0" distB="0" distL="0" distR="0">
            <wp:extent cx="85350" cy="12193"/>
            <wp:effectExtent l="0" t="0" r="0" b="0"/>
            <wp:docPr id="20377" name="Picture 20377"/>
            <wp:cNvGraphicFramePr/>
            <a:graphic xmlns:a="http://schemas.openxmlformats.org/drawingml/2006/main">
              <a:graphicData uri="http://schemas.openxmlformats.org/drawingml/2006/picture">
                <pic:pic xmlns:pic="http://schemas.openxmlformats.org/drawingml/2006/picture">
                  <pic:nvPicPr>
                    <pic:cNvPr id="20377" name="Picture 20377"/>
                    <pic:cNvPicPr/>
                  </pic:nvPicPr>
                  <pic:blipFill>
                    <a:blip r:embed="rId13"/>
                    <a:stretch>
                      <a:fillRect/>
                    </a:stretch>
                  </pic:blipFill>
                  <pic:spPr>
                    <a:xfrm>
                      <a:off x="0" y="0"/>
                      <a:ext cx="85350" cy="12193"/>
                    </a:xfrm>
                    <a:prstGeom prst="rect">
                      <a:avLst/>
                    </a:prstGeom>
                  </pic:spPr>
                </pic:pic>
              </a:graphicData>
            </a:graphic>
          </wp:inline>
        </w:drawing>
      </w:r>
      <w:r>
        <w:t xml:space="preserve"> Indywidualna nagroda 3 stopnia Rektora Politechniki Rzeszowskiej za cykl publikacji dotyczący pomiarów współrzędnościowych powierzchni swobodnych, 2018. </w:t>
      </w:r>
      <w:r>
        <w:rPr>
          <w:noProof/>
        </w:rPr>
        <w:drawing>
          <wp:inline distT="0" distB="0" distL="0" distR="0">
            <wp:extent cx="85350" cy="12193"/>
            <wp:effectExtent l="0" t="0" r="0" b="0"/>
            <wp:docPr id="20378" name="Picture 20378"/>
            <wp:cNvGraphicFramePr/>
            <a:graphic xmlns:a="http://schemas.openxmlformats.org/drawingml/2006/main">
              <a:graphicData uri="http://schemas.openxmlformats.org/drawingml/2006/picture">
                <pic:pic xmlns:pic="http://schemas.openxmlformats.org/drawingml/2006/picture">
                  <pic:nvPicPr>
                    <pic:cNvPr id="20378" name="Picture 20378"/>
                    <pic:cNvPicPr/>
                  </pic:nvPicPr>
                  <pic:blipFill>
                    <a:blip r:embed="rId14"/>
                    <a:stretch>
                      <a:fillRect/>
                    </a:stretch>
                  </pic:blipFill>
                  <pic:spPr>
                    <a:xfrm>
                      <a:off x="0" y="0"/>
                      <a:ext cx="85350" cy="12193"/>
                    </a:xfrm>
                    <a:prstGeom prst="rect">
                      <a:avLst/>
                    </a:prstGeom>
                  </pic:spPr>
                </pic:pic>
              </a:graphicData>
            </a:graphic>
          </wp:inline>
        </w:drawing>
      </w:r>
      <w:r>
        <w:t xml:space="preserve"> Zespołowa nagroda 2 stopnia Rektora Politechniki Rzeszowskiej za cykl publikacji dotyczący współrzędnościowej techniki pomiarowej, 2013.</w:t>
      </w:r>
    </w:p>
    <w:p w:rsidR="00517EFF" w:rsidRDefault="00E16F7F">
      <w:pPr>
        <w:numPr>
          <w:ilvl w:val="0"/>
          <w:numId w:val="2"/>
        </w:numPr>
        <w:spacing w:after="0"/>
        <w:ind w:right="71" w:hanging="374"/>
      </w:pPr>
      <w:r>
        <w:t>Indywidualna nagroda 2 stopnia Rektora Politechniki Rzeszowskiej za uzyskanie stopnia dr nauk technicznych z wyróżnieniem, 2013.</w:t>
      </w:r>
    </w:p>
    <w:p w:rsidR="00517EFF" w:rsidRDefault="00E16F7F">
      <w:pPr>
        <w:spacing w:after="362"/>
        <w:ind w:left="729" w:right="71" w:hanging="547"/>
      </w:pPr>
      <w:r>
        <w:rPr>
          <w:noProof/>
        </w:rPr>
        <w:drawing>
          <wp:inline distT="0" distB="0" distL="0" distR="0">
            <wp:extent cx="198133" cy="21337"/>
            <wp:effectExtent l="0" t="0" r="0" b="0"/>
            <wp:docPr id="35852" name="Picture 35852"/>
            <wp:cNvGraphicFramePr/>
            <a:graphic xmlns:a="http://schemas.openxmlformats.org/drawingml/2006/main">
              <a:graphicData uri="http://schemas.openxmlformats.org/drawingml/2006/picture">
                <pic:pic xmlns:pic="http://schemas.openxmlformats.org/drawingml/2006/picture">
                  <pic:nvPicPr>
                    <pic:cNvPr id="35852" name="Picture 35852"/>
                    <pic:cNvPicPr/>
                  </pic:nvPicPr>
                  <pic:blipFill>
                    <a:blip r:embed="rId15"/>
                    <a:stretch>
                      <a:fillRect/>
                    </a:stretch>
                  </pic:blipFill>
                  <pic:spPr>
                    <a:xfrm>
                      <a:off x="0" y="0"/>
                      <a:ext cx="198133" cy="21337"/>
                    </a:xfrm>
                    <a:prstGeom prst="rect">
                      <a:avLst/>
                    </a:prstGeom>
                  </pic:spPr>
                </pic:pic>
              </a:graphicData>
            </a:graphic>
          </wp:inline>
        </w:drawing>
      </w:r>
      <w:r>
        <w:t>Indywidualna nagroda 3 stopnia Rektora Politechniki Rzeszowskiej za skrypt "CATIA V— Podstawy”.</w:t>
      </w:r>
    </w:p>
    <w:p w:rsidR="00517EFF" w:rsidRDefault="00E16F7F">
      <w:pPr>
        <w:pStyle w:val="Nagwek1"/>
        <w:spacing w:after="122"/>
        <w:ind w:right="58"/>
        <w:jc w:val="center"/>
      </w:pPr>
      <w:r>
        <w:t>OCENA KOŃCOWA</w:t>
      </w:r>
    </w:p>
    <w:p w:rsidR="00517EFF" w:rsidRDefault="00E16F7F">
      <w:pPr>
        <w:spacing w:after="4"/>
        <w:ind w:left="19" w:right="71"/>
      </w:pPr>
      <w:r>
        <w:t>Pan dr inż. Marek Magdziak ma ugruntowaną pozycję w świecie naukowym jako specjalista z zakresu planowania strategii stykowych pomiarów współrzędnościowych powierzchni krzywoliniowych. Jego osiągnięcia są niepodważalne, o czym świadczą wskaźniki bibliometryczne (łączny Impact Factor wg Web of Science wynosi 10,995, a Index Hirscha</w:t>
      </w:r>
    </w:p>
    <w:p w:rsidR="00517EFF" w:rsidRDefault="00E16F7F">
      <w:pPr>
        <w:spacing w:after="74" w:line="259" w:lineRule="auto"/>
        <w:ind w:left="9" w:hanging="10"/>
        <w:jc w:val="left"/>
      </w:pPr>
      <w:r>
        <w:rPr>
          <w:rFonts w:ascii="Times New Roman" w:eastAsia="Times New Roman" w:hAnsi="Times New Roman" w:cs="Times New Roman"/>
        </w:rPr>
        <w:t>5).</w:t>
      </w:r>
    </w:p>
    <w:p w:rsidR="00517EFF" w:rsidRDefault="00E16F7F">
      <w:pPr>
        <w:spacing w:after="9"/>
        <w:ind w:left="19" w:right="71"/>
      </w:pPr>
      <w:r>
        <w:t>Na podstawie przedstawionych w autoreferacie materiałów do oceny można przyjąć, że dorobek naukowy dr. inż. Marka Magdziaka stanowi znaczący wkład w rozwój dyscypliny Inżynieria mechaniczna.</w:t>
      </w:r>
    </w:p>
    <w:p w:rsidR="00517EFF" w:rsidRDefault="00E16F7F">
      <w:pPr>
        <w:spacing w:after="0"/>
        <w:ind w:left="19" w:right="71"/>
      </w:pPr>
      <w:r>
        <w:t>Stwierdzam, że argumentami przy ubieganiu się o stopień doktora habilitowanego przez Pana dr. inż. Marka Magdziaka są przedstawione pozytywne recenzje cząstkowe o osiągnięciu naukowym i istotnej aktywności naukowej, jak również o dorobku dydaktycznym i organizacyjnym.</w:t>
      </w:r>
    </w:p>
    <w:p w:rsidR="00517EFF" w:rsidRDefault="00E16F7F">
      <w:pPr>
        <w:spacing w:after="0"/>
        <w:ind w:left="19" w:right="71" w:firstLine="480"/>
      </w:pPr>
      <w:r>
        <w:t xml:space="preserve">Oceniając łącznie osiągnięcie naukowe oraz istotną aktywność naukową dr. inż. Marka Magdziaka stwierdzam, że w wystarczającym stopniu są spełnione wymagania Ustawy o stopniach naukowych i tytule naukowym oraz o stopniach i tytule w zakresie sztuki z dnia 14 marca 2003 roku (Dz. U. z 2017 roku poz. 1789), w związku z czym, stawiam wniosek o </w:t>
      </w:r>
      <w:r>
        <w:lastRenderedPageBreak/>
        <w:t>nadanie dr. inż. Markowi Magdziakowi stopnia doktora habilitowanego nauk inżynieryjno-technicznych w dyscyplinie inżynieria mechaniczna.</w:t>
      </w:r>
    </w:p>
    <w:p w:rsidR="00517EFF" w:rsidRDefault="00E16F7F">
      <w:pPr>
        <w:spacing w:after="0" w:line="259" w:lineRule="auto"/>
        <w:ind w:left="6111" w:right="-422" w:firstLine="0"/>
        <w:jc w:val="left"/>
      </w:pPr>
      <w:r>
        <w:rPr>
          <w:noProof/>
        </w:rPr>
        <w:drawing>
          <wp:inline distT="0" distB="0" distL="0" distR="0">
            <wp:extent cx="2002671" cy="1133910"/>
            <wp:effectExtent l="0" t="0" r="0" b="0"/>
            <wp:docPr id="35854" name="Picture 35854"/>
            <wp:cNvGraphicFramePr/>
            <a:graphic xmlns:a="http://schemas.openxmlformats.org/drawingml/2006/main">
              <a:graphicData uri="http://schemas.openxmlformats.org/drawingml/2006/picture">
                <pic:pic xmlns:pic="http://schemas.openxmlformats.org/drawingml/2006/picture">
                  <pic:nvPicPr>
                    <pic:cNvPr id="35854" name="Picture 35854"/>
                    <pic:cNvPicPr/>
                  </pic:nvPicPr>
                  <pic:blipFill>
                    <a:blip r:embed="rId16"/>
                    <a:stretch>
                      <a:fillRect/>
                    </a:stretch>
                  </pic:blipFill>
                  <pic:spPr>
                    <a:xfrm>
                      <a:off x="0" y="0"/>
                      <a:ext cx="2002671" cy="1133910"/>
                    </a:xfrm>
                    <a:prstGeom prst="rect">
                      <a:avLst/>
                    </a:prstGeom>
                  </pic:spPr>
                </pic:pic>
              </a:graphicData>
            </a:graphic>
          </wp:inline>
        </w:drawing>
      </w:r>
    </w:p>
    <w:p w:rsidR="00517EFF" w:rsidRDefault="00517EFF">
      <w:pPr>
        <w:sectPr w:rsidR="00517EFF">
          <w:footerReference w:type="even" r:id="rId17"/>
          <w:footerReference w:type="default" r:id="rId18"/>
          <w:footerReference w:type="first" r:id="rId19"/>
          <w:pgSz w:w="11900" w:h="16820"/>
          <w:pgMar w:top="1578" w:right="1421" w:bottom="1525" w:left="1637" w:header="720" w:footer="1114" w:gutter="0"/>
          <w:cols w:space="720"/>
        </w:sectPr>
      </w:pPr>
    </w:p>
    <w:p w:rsidR="00517EFF" w:rsidRDefault="00E16F7F">
      <w:pPr>
        <w:spacing w:after="0" w:line="259" w:lineRule="auto"/>
        <w:ind w:left="-307" w:firstLine="0"/>
        <w:jc w:val="left"/>
      </w:pPr>
      <w:r>
        <w:rPr>
          <w:noProof/>
        </w:rPr>
        <w:lastRenderedPageBreak/>
        <w:drawing>
          <wp:inline distT="0" distB="0" distL="0" distR="0">
            <wp:extent cx="1377789" cy="97541"/>
            <wp:effectExtent l="0" t="0" r="0" b="0"/>
            <wp:docPr id="35856" name="Picture 35856"/>
            <wp:cNvGraphicFramePr/>
            <a:graphic xmlns:a="http://schemas.openxmlformats.org/drawingml/2006/main">
              <a:graphicData uri="http://schemas.openxmlformats.org/drawingml/2006/picture">
                <pic:pic xmlns:pic="http://schemas.openxmlformats.org/drawingml/2006/picture">
                  <pic:nvPicPr>
                    <pic:cNvPr id="35856" name="Picture 35856"/>
                    <pic:cNvPicPr/>
                  </pic:nvPicPr>
                  <pic:blipFill>
                    <a:blip r:embed="rId20"/>
                    <a:stretch>
                      <a:fillRect/>
                    </a:stretch>
                  </pic:blipFill>
                  <pic:spPr>
                    <a:xfrm>
                      <a:off x="0" y="0"/>
                      <a:ext cx="1377789" cy="97541"/>
                    </a:xfrm>
                    <a:prstGeom prst="rect">
                      <a:avLst/>
                    </a:prstGeom>
                  </pic:spPr>
                </pic:pic>
              </a:graphicData>
            </a:graphic>
          </wp:inline>
        </w:drawing>
      </w:r>
      <w:r>
        <w:rPr>
          <w:rFonts w:ascii="Times New Roman" w:eastAsia="Times New Roman" w:hAnsi="Times New Roman" w:cs="Times New Roman"/>
          <w:sz w:val="16"/>
        </w:rPr>
        <w:t xml:space="preserve"> .t</w:t>
      </w:r>
      <w:r>
        <w:rPr>
          <w:rFonts w:ascii="Times New Roman" w:eastAsia="Times New Roman" w:hAnsi="Times New Roman" w:cs="Times New Roman"/>
          <w:sz w:val="16"/>
          <w:vertAlign w:val="superscript"/>
        </w:rPr>
        <w:t>e</w:t>
      </w:r>
      <w:r>
        <w:rPr>
          <w:rFonts w:ascii="Times New Roman" w:eastAsia="Times New Roman" w:hAnsi="Times New Roman" w:cs="Times New Roman"/>
          <w:sz w:val="16"/>
        </w:rPr>
        <w:t>:no</w:t>
      </w:r>
    </w:p>
    <w:sectPr w:rsidR="00517EFF">
      <w:footerReference w:type="even" r:id="rId21"/>
      <w:footerReference w:type="default" r:id="rId22"/>
      <w:footerReference w:type="first" r:id="rId23"/>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BB" w:rsidRDefault="00B26ABB">
      <w:pPr>
        <w:spacing w:after="0" w:line="240" w:lineRule="auto"/>
      </w:pPr>
      <w:r>
        <w:separator/>
      </w:r>
    </w:p>
  </w:endnote>
  <w:endnote w:type="continuationSeparator" w:id="0">
    <w:p w:rsidR="00B26ABB" w:rsidRDefault="00B2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E16F7F">
    <w:pPr>
      <w:spacing w:after="0" w:line="259" w:lineRule="auto"/>
      <w:ind w:left="29"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E16F7F">
    <w:pPr>
      <w:spacing w:after="0" w:line="259" w:lineRule="auto"/>
      <w:ind w:left="29" w:firstLine="0"/>
      <w:jc w:val="center"/>
    </w:pPr>
    <w:r>
      <w:fldChar w:fldCharType="begin"/>
    </w:r>
    <w:r>
      <w:instrText xml:space="preserve"> PAGE   \* MERGEFORMAT </w:instrText>
    </w:r>
    <w:r>
      <w:fldChar w:fldCharType="separate"/>
    </w:r>
    <w:r w:rsidRPr="00E16F7F">
      <w:rPr>
        <w:rFonts w:ascii="Times New Roman" w:eastAsia="Times New Roman" w:hAnsi="Times New Roman" w:cs="Times New Roman"/>
        <w:noProof/>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E16F7F">
    <w:pPr>
      <w:spacing w:after="0" w:line="259" w:lineRule="auto"/>
      <w:ind w:left="29"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517EF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517EF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FF" w:rsidRDefault="00517E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BB" w:rsidRDefault="00B26ABB">
      <w:pPr>
        <w:spacing w:after="0" w:line="240" w:lineRule="auto"/>
      </w:pPr>
      <w:r>
        <w:separator/>
      </w:r>
    </w:p>
  </w:footnote>
  <w:footnote w:type="continuationSeparator" w:id="0">
    <w:p w:rsidR="00B26ABB" w:rsidRDefault="00B2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2.25pt;height:.75pt" coordsize="" o:spt="100" o:bullet="t" adj="0,,0" path="" stroked="f">
        <v:stroke joinstyle="miter"/>
        <v:imagedata r:id="rId1" o:title="image18"/>
        <v:formulas/>
        <v:path o:connecttype="segments"/>
      </v:shape>
    </w:pict>
  </w:numPicBullet>
  <w:abstractNum w:abstractNumId="0" w15:restartNumberingAfterBreak="0">
    <w:nsid w:val="184A1103"/>
    <w:multiLevelType w:val="hybridMultilevel"/>
    <w:tmpl w:val="9A043A84"/>
    <w:lvl w:ilvl="0" w:tplc="581A4F82">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0EA056">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2A477F0">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708DC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90ACA86">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8E8807A">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13800D2">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90084E">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6A7C48">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6793C34"/>
    <w:multiLevelType w:val="hybridMultilevel"/>
    <w:tmpl w:val="D3588D36"/>
    <w:lvl w:ilvl="0" w:tplc="ECC007D2">
      <w:start w:val="1"/>
      <w:numFmt w:val="bullet"/>
      <w:lvlText w:val="•"/>
      <w:lvlPicBulletId w:val="0"/>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26357A">
      <w:start w:val="1"/>
      <w:numFmt w:val="bullet"/>
      <w:lvlText w:val="o"/>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BA87BC">
      <w:start w:val="1"/>
      <w:numFmt w:val="bullet"/>
      <w:lvlText w:val="▪"/>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849C5E">
      <w:start w:val="1"/>
      <w:numFmt w:val="bullet"/>
      <w:lvlText w:val="•"/>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768C58">
      <w:start w:val="1"/>
      <w:numFmt w:val="bullet"/>
      <w:lvlText w:val="o"/>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A48972">
      <w:start w:val="1"/>
      <w:numFmt w:val="bullet"/>
      <w:lvlText w:val="▪"/>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38AAF8">
      <w:start w:val="1"/>
      <w:numFmt w:val="bullet"/>
      <w:lvlText w:val="•"/>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07212">
      <w:start w:val="1"/>
      <w:numFmt w:val="bullet"/>
      <w:lvlText w:val="o"/>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A6444A">
      <w:start w:val="1"/>
      <w:numFmt w:val="bullet"/>
      <w:lvlText w:val="▪"/>
      <w:lvlJc w:val="left"/>
      <w:pPr>
        <w:ind w:left="6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FF"/>
    <w:rsid w:val="00517EFF"/>
    <w:rsid w:val="00714C1E"/>
    <w:rsid w:val="00B26ABB"/>
    <w:rsid w:val="00D9370E"/>
    <w:rsid w:val="00E1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4C1BD-05B9-4562-8420-73E629F2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90" w:line="252" w:lineRule="auto"/>
      <w:ind w:left="38" w:firstLine="436"/>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53" w:hanging="10"/>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footer" Target="footer6.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3384</Words>
  <Characters>20308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Ewelina Świtalska-Kufel</cp:lastModifiedBy>
  <cp:revision>2</cp:revision>
  <dcterms:created xsi:type="dcterms:W3CDTF">2021-03-09T14:21:00Z</dcterms:created>
  <dcterms:modified xsi:type="dcterms:W3CDTF">2021-03-09T14:21:00Z</dcterms:modified>
</cp:coreProperties>
</file>