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55" w:rsidRPr="0010396D" w:rsidRDefault="00E77908" w:rsidP="00F22755">
      <w:pPr>
        <w:ind w:right="360"/>
        <w:jc w:val="center"/>
      </w:pPr>
      <w:r>
        <w:rPr>
          <w:noProof/>
        </w:rPr>
        <w:drawing>
          <wp:inline distT="0" distB="0" distL="0" distR="0">
            <wp:extent cx="5752465" cy="743585"/>
            <wp:effectExtent l="0" t="0" r="635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55" w:rsidRPr="009145C2" w:rsidRDefault="00F22755" w:rsidP="00F22755">
      <w:pPr>
        <w:ind w:right="360"/>
        <w:jc w:val="center"/>
        <w:rPr>
          <w:b/>
          <w:bCs/>
          <w:sz w:val="18"/>
          <w:szCs w:val="18"/>
        </w:rPr>
      </w:pPr>
      <w:r w:rsidRPr="0010396D">
        <w:tab/>
      </w:r>
      <w:r w:rsidRPr="009145C2">
        <w:rPr>
          <w:b/>
          <w:bCs/>
        </w:rPr>
        <w:t>POWR.NK .18.001.01 - ŚCIEŻKA 2 - Nowa jakość - zintegrowany program rozwoju Politechniki Rzeszowskiej</w:t>
      </w:r>
    </w:p>
    <w:p w:rsidR="00F22755" w:rsidRDefault="00F22755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5C49A3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5C49A3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5C49A3">
        <w:rPr>
          <w:sz w:val="24"/>
        </w:rPr>
        <w:t>2021-01-08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5C49A3" w:rsidRPr="005C49A3">
        <w:rPr>
          <w:b/>
          <w:bCs/>
          <w:sz w:val="24"/>
        </w:rPr>
        <w:t>NA/S/361/2020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bookmarkStart w:id="0" w:name="_GoBack"/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bookmarkEnd w:id="0"/>
      <w:r>
        <w:rPr>
          <w:rFonts w:ascii="Verdana" w:hAnsi="Verdana"/>
          <w:b/>
          <w:sz w:val="28"/>
          <w:szCs w:val="24"/>
        </w:rPr>
        <w:br/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5C49A3" w:rsidRPr="005C49A3" w:rsidRDefault="005C49A3" w:rsidP="00CF5BC4">
      <w:pPr>
        <w:spacing w:line="360" w:lineRule="auto"/>
        <w:rPr>
          <w:b/>
          <w:bCs/>
          <w:color w:val="000000"/>
          <w:sz w:val="24"/>
        </w:rPr>
      </w:pPr>
      <w:r w:rsidRPr="005C49A3">
        <w:rPr>
          <w:b/>
          <w:bCs/>
          <w:color w:val="000000"/>
          <w:sz w:val="24"/>
        </w:rPr>
        <w:t>Politechnika Rzeszowska</w:t>
      </w:r>
    </w:p>
    <w:p w:rsidR="00CF5BC4" w:rsidRDefault="005C49A3" w:rsidP="00CF5BC4">
      <w:pPr>
        <w:spacing w:line="360" w:lineRule="auto"/>
        <w:rPr>
          <w:b/>
          <w:bCs/>
          <w:color w:val="000000"/>
          <w:sz w:val="24"/>
        </w:rPr>
      </w:pPr>
      <w:r w:rsidRPr="005C49A3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5C49A3" w:rsidP="00CF5BC4">
      <w:pPr>
        <w:spacing w:line="360" w:lineRule="auto"/>
        <w:rPr>
          <w:color w:val="000000"/>
          <w:sz w:val="24"/>
        </w:rPr>
      </w:pPr>
      <w:r w:rsidRPr="005C49A3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5C49A3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5C49A3" w:rsidP="00CF5BC4">
      <w:pPr>
        <w:spacing w:line="360" w:lineRule="auto"/>
        <w:rPr>
          <w:color w:val="000000"/>
          <w:sz w:val="24"/>
        </w:rPr>
      </w:pPr>
      <w:r w:rsidRPr="005C49A3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5C49A3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5C49A3" w:rsidP="00CF5BC4">
      <w:pPr>
        <w:spacing w:line="360" w:lineRule="auto"/>
        <w:jc w:val="both"/>
        <w:rPr>
          <w:b/>
          <w:sz w:val="24"/>
          <w:szCs w:val="24"/>
        </w:rPr>
      </w:pPr>
      <w:r w:rsidRPr="005C49A3">
        <w:rPr>
          <w:b/>
          <w:color w:val="000000"/>
          <w:sz w:val="24"/>
          <w:szCs w:val="24"/>
        </w:rPr>
        <w:t>"Usługa przeprowadzenia  szkoleń:  ITIL4 Foundation i ITIL4 Strategist: Direct plan and improve dla 2 osób wraz z egzaminami"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2"/>
      </w:tblGrid>
      <w:tr w:rsidR="004748DD" w:rsidTr="00E97251">
        <w:trPr>
          <w:trHeight w:val="407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DD" w:rsidRDefault="004748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4748DD" w:rsidTr="00E97251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D" w:rsidRDefault="004748DD" w:rsidP="001A5D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9A3">
              <w:rPr>
                <w:rFonts w:ascii="Arial" w:hAnsi="Arial" w:cs="Arial"/>
                <w:b/>
                <w:sz w:val="22"/>
                <w:szCs w:val="22"/>
              </w:rPr>
              <w:t>"Usługa przeprowadzenia  szkoleń:  ITIL4 Foundation i ITIL4 Strategist: Direct plan and improve dla 2 osób wraz z egzaminami"</w:t>
            </w:r>
          </w:p>
          <w:p w:rsidR="004748DD" w:rsidRDefault="004748DD" w:rsidP="001A5D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9A3">
              <w:rPr>
                <w:rFonts w:ascii="Arial" w:hAnsi="Arial" w:cs="Arial"/>
                <w:sz w:val="22"/>
                <w:szCs w:val="22"/>
              </w:rPr>
              <w:t>Przedmiotem zamówienia jest:</w:t>
            </w:r>
          </w:p>
          <w:p w:rsidR="00E97251" w:rsidRPr="00D139D3" w:rsidRDefault="00E97251" w:rsidP="00E972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139D3">
              <w:rPr>
                <w:b/>
                <w:bCs/>
              </w:rPr>
              <w:t>Zamówienie obejmuje: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jc w:val="both"/>
            </w:pPr>
            <w:r w:rsidRPr="00D139D3">
              <w:lastRenderedPageBreak/>
              <w:t>- Szkolenie ITIL4 Foundation – szkolenie akredytowane dla 2 osób</w:t>
            </w:r>
            <w:r>
              <w:t xml:space="preserve"> wraz z egzaminem.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jc w:val="both"/>
            </w:pPr>
            <w:r>
              <w:t xml:space="preserve">- </w:t>
            </w:r>
            <w:r w:rsidRPr="00D139D3">
              <w:t>Szkolenie ITIL4 Strategist</w:t>
            </w:r>
            <w:r>
              <w:t xml:space="preserve">: Direct plan and improve – szkolenie akredytowane dla dwóch osób wraz z egzaminem. </w:t>
            </w:r>
          </w:p>
          <w:p w:rsidR="00E97251" w:rsidRPr="00A4341F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  <w:rPr>
                <w:b/>
                <w:bCs/>
                <w:u w:val="single"/>
              </w:rPr>
            </w:pPr>
            <w:r w:rsidRPr="00A4341F">
              <w:rPr>
                <w:b/>
                <w:bCs/>
                <w:u w:val="single"/>
              </w:rPr>
              <w:t>Wykonawca zobowiązany jest do: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 xml:space="preserve">-Szkolenie musi mieć charakter zamknięty. 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>-Przeprowadzenie szkoleń i egzaminów ITIL zgodnie z najnowszą wersją ITIL 4.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>-Przeprowadzenia szkoleń w formie zdalnej w terminach wskazanych przez uczestników szkolenia z 7 dniowym wyprzedzeniem.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>-Przeprowadzenie egzaminów w postaci papierowej u Zamawiającego w termiach wskazanych przez uczestników szkolenia z 7 dniowym wyprzedzeniem.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>-Zapewnienia każdemu uczestnikowi materiałów szkoleniowych w języku polskim w postaci podręcznika dedykowanego do każdego ze szkoleń z osobna.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>-Zapewnienie po 1 egz. oryginalnego podręcznika ITIL4 Foundation oraz ITIL 4  Strategist: Direct plan and improve dla każdego z uczestników (forma elektroniczna w formacie pdf).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>-Wykorzystanie w procesie nauki podczas szkolenia ćwiczeń i gier symulacyjnych. Minimum 40% czasu szkolenia musi być przeznaczone na ćwiczenia i symulacje.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>-Przeprowadzenie w języku polskim egzaminu certyfikującego dla szkolenia ITIL 4 Foundation oraz w języku polskim lub angielskim egzaminu certyfikującego dla szkolenia ITIL4 Strategist: Direct plan and improve.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>-Przygotowanie imiennych zaświadczeń ukończenia akredytowanego szkolenia każdemu uczestnikowi szkolenia.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lastRenderedPageBreak/>
              <w:t>-Zapewnienie po zdanym egzaminie każdemu uczestnikowi certyfikatu w formie elektronicznej.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>-Zapewnienia uczestnikom szkoleń kontaktu z trenerem przed zajęciami (np. w celu zgłoszenia indywidualnych potrzeb lub oczekiwań edukacyjnych).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>-Zapewnienie uczestnikom szkoleń dostępu online do dodatkowych materiałów edukacyjnych.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>-Zapewnienie uczestnikom szkolenia możliwości sprawdzenia wiedzy w formie zadań lub quizów (przed i po szkoleniu) tzw. pre i post-testy.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>
              <w:t>-Zapewnienie uczestnikom szkoleń dostępu do bazy przykładowych pytań egzaminacyjnych dla ITIL4 Foundation.</w:t>
            </w:r>
          </w:p>
          <w:p w:rsidR="00E97251" w:rsidRPr="00682EE3" w:rsidRDefault="00E97251" w:rsidP="00E97251">
            <w:pPr>
              <w:pStyle w:val="Teksttreci20"/>
              <w:tabs>
                <w:tab w:val="left" w:pos="436"/>
              </w:tabs>
              <w:spacing w:before="0" w:line="274" w:lineRule="exact"/>
              <w:ind w:left="500"/>
              <w:jc w:val="both"/>
            </w:pPr>
            <w:r w:rsidRPr="00010E94">
              <w:t xml:space="preserve">-Na etapie przedłożenia oferty Wykonawca zobowiązany jest do przedstawienia szczegółowego </w:t>
            </w:r>
            <w:r w:rsidRPr="00682EE3">
              <w:t xml:space="preserve">programu szkolenia. </w:t>
            </w:r>
          </w:p>
          <w:p w:rsidR="00E97251" w:rsidRPr="00682EE3" w:rsidRDefault="00E97251" w:rsidP="00E97251">
            <w:pPr>
              <w:spacing w:after="120"/>
              <w:jc w:val="both"/>
            </w:pPr>
            <w:r>
              <w:t xml:space="preserve">- </w:t>
            </w:r>
            <w:r w:rsidRPr="00682EE3">
              <w:t xml:space="preserve">Wykonawca zobowiązany będzie do sporządzenia z należytą starannością dokumentacji dotyczącej wykonywanych działań, a w szczególności dziennika szkolenia, ewidencji obecności uczestników szkolenia (w tym do niezwłocznego informowania o każdej nieobecności), ankiet ewaluacyjnych. Dokumentacja winna być potwierdzona przez uczestnika własnoręcznym podpisem. Wszelka dokumentacja dotycząca wykonywanych działań ma być oznaczona logotypami zgodnie z obowiązującymi „Wytycznymi dotyczącymi oznaczania projektów w ramach Programu Operacyjnego Wiedza edukacja Rozwój” oraz informacją: „Nowa jakość - zintegrowany program rozwoju Politechniki Rzeszowskiej” </w:t>
            </w:r>
          </w:p>
          <w:p w:rsidR="00E97251" w:rsidRPr="005A723E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  <w:rPr>
                <w:b/>
                <w:bCs/>
                <w:u w:val="single"/>
              </w:rPr>
            </w:pPr>
            <w:r w:rsidRPr="005A723E">
              <w:rPr>
                <w:b/>
                <w:bCs/>
                <w:u w:val="single"/>
              </w:rPr>
              <w:t>Zakres szkolenia ITIL4 Foundation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1 – Wstęp i przegląd biblioteki ITIL.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2 – Pryncypia biblioteki ITIL.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lastRenderedPageBreak/>
              <w:t>Moduł 3 – Model „Four Dimensions of ITSM”.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4 – Model „Service Value System”.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5 – Ustawiczne doskonalenie usług.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6 - Praktyki ITIL.</w:t>
            </w:r>
          </w:p>
          <w:p w:rsidR="00E97251" w:rsidRPr="005A723E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  <w:rPr>
                <w:b/>
                <w:bCs/>
                <w:u w:val="single"/>
              </w:rPr>
            </w:pPr>
            <w:r w:rsidRPr="005A723E">
              <w:rPr>
                <w:b/>
                <w:bCs/>
                <w:u w:val="single"/>
              </w:rPr>
              <w:t xml:space="preserve">Zakres szkolenia ITIL4 Strategist: Direct plan and improve 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Subject Start End Total Time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1 Introduction and a short recap based on precourse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2 Core Concepts of DPI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lastRenderedPageBreak/>
              <w:t>Moduł 3 DPI through Service Value System and GuidingPrinciples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4 Role of Direction in Strategy Management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5 Implementation of Strategies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6 Introduction to Assessment and Planning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7 Assessment and Planning through VSM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8 Measurement, Reporting, and CI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9 Measurement and CI through Dimensions and SVS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10 OCM Principles and Methods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lastRenderedPageBreak/>
              <w:t>Moduł 11 Communication Principles and Methods</w:t>
            </w:r>
          </w:p>
          <w:p w:rsidR="00E97251" w:rsidRDefault="00E97251" w:rsidP="00E97251">
            <w:pPr>
              <w:pStyle w:val="Teksttreci20"/>
              <w:tabs>
                <w:tab w:val="left" w:pos="436"/>
              </w:tabs>
              <w:spacing w:line="274" w:lineRule="exact"/>
              <w:ind w:left="500"/>
              <w:jc w:val="both"/>
            </w:pPr>
            <w:r>
              <w:t>Moduł 12 SVS Development Using the Four Dimensions</w:t>
            </w:r>
          </w:p>
          <w:p w:rsidR="00E97251" w:rsidRPr="00E97251" w:rsidRDefault="00E97251" w:rsidP="00E97251">
            <w:pPr>
              <w:pStyle w:val="Teksttreci20"/>
              <w:tabs>
                <w:tab w:val="left" w:pos="284"/>
              </w:tabs>
              <w:spacing w:line="274" w:lineRule="exact"/>
              <w:ind w:left="-142" w:hanging="32"/>
              <w:jc w:val="both"/>
              <w:rPr>
                <w:b/>
                <w:u w:val="single"/>
              </w:rPr>
            </w:pPr>
            <w:r w:rsidRPr="00F707BD">
              <w:rPr>
                <w:b/>
                <w:u w:val="single"/>
              </w:rPr>
              <w:t>Firma szkoleniowa musi posiadać aktualny na dzień składania ofert certyfikat ATO (Approved Training Organization) oraz AEO (Approved Examination Organization)</w:t>
            </w:r>
            <w:r>
              <w:rPr>
                <w:b/>
                <w:u w:val="single"/>
              </w:rPr>
              <w:t xml:space="preserve"> lub równoważny</w:t>
            </w:r>
          </w:p>
          <w:p w:rsidR="00E97251" w:rsidRDefault="00E97251" w:rsidP="001A5D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48DD" w:rsidRDefault="004748DD" w:rsidP="001A5DC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C49A3">
              <w:rPr>
                <w:rFonts w:ascii="Arial" w:hAnsi="Arial" w:cs="Arial"/>
                <w:sz w:val="22"/>
                <w:szCs w:val="22"/>
                <w:lang w:val="en-US"/>
              </w:rPr>
              <w:t>79632000-3 - Szkolenie pracowników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13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5C49A3" w:rsidTr="00C37EDC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3" w:rsidRDefault="005C49A3" w:rsidP="001A5DCF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5C49A3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C49A3" w:rsidRDefault="005C49A3" w:rsidP="001A5DCF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5C49A3" w:rsidRDefault="005C49A3" w:rsidP="001A5DCF">
            <w:pPr>
              <w:spacing w:after="60"/>
              <w:rPr>
                <w:b/>
                <w:iCs/>
                <w:sz w:val="22"/>
                <w:szCs w:val="22"/>
              </w:rPr>
            </w:pPr>
            <w:r w:rsidRPr="005C49A3">
              <w:rPr>
                <w:b/>
                <w:iCs/>
                <w:sz w:val="22"/>
                <w:szCs w:val="22"/>
              </w:rPr>
              <w:t>Inprogress</w:t>
            </w:r>
          </w:p>
          <w:p w:rsidR="005C49A3" w:rsidRDefault="005C49A3" w:rsidP="001A5DCF">
            <w:pPr>
              <w:spacing w:after="60"/>
              <w:rPr>
                <w:iCs/>
                <w:sz w:val="22"/>
                <w:szCs w:val="22"/>
              </w:rPr>
            </w:pPr>
            <w:r w:rsidRPr="005C49A3">
              <w:rPr>
                <w:bCs/>
                <w:iCs/>
                <w:sz w:val="22"/>
                <w:szCs w:val="22"/>
              </w:rPr>
              <w:t>ul. Balicka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5C49A3">
              <w:rPr>
                <w:bCs/>
                <w:iCs/>
                <w:sz w:val="22"/>
                <w:szCs w:val="22"/>
              </w:rPr>
              <w:t>95</w:t>
            </w:r>
          </w:p>
          <w:p w:rsidR="005C49A3" w:rsidRDefault="005C49A3" w:rsidP="001A5DCF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5C49A3">
              <w:rPr>
                <w:bCs/>
                <w:iCs/>
                <w:sz w:val="22"/>
                <w:szCs w:val="22"/>
              </w:rPr>
              <w:t>30-149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5C49A3">
              <w:rPr>
                <w:bCs/>
                <w:iCs/>
                <w:sz w:val="22"/>
                <w:szCs w:val="22"/>
              </w:rPr>
              <w:t>Kraków</w:t>
            </w:r>
          </w:p>
          <w:p w:rsidR="005C49A3" w:rsidRDefault="005C49A3" w:rsidP="001A5DCF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5C49A3">
              <w:rPr>
                <w:b/>
                <w:bCs/>
                <w:iCs/>
                <w:sz w:val="22"/>
                <w:szCs w:val="22"/>
              </w:rPr>
              <w:t>12 320.00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13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5C49A3" w:rsidTr="00C37EDC">
        <w:trPr>
          <w:trHeight w:val="969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3" w:rsidRDefault="005C49A3" w:rsidP="001A5DCF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5C49A3" w:rsidRDefault="005C49A3" w:rsidP="001A5DC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49A3" w:rsidRDefault="005C49A3" w:rsidP="001A5DCF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5C49A3">
              <w:rPr>
                <w:rFonts w:ascii="Arial" w:hAnsi="Arial" w:cs="Arial"/>
                <w:sz w:val="18"/>
                <w:szCs w:val="18"/>
              </w:rPr>
              <w:t>2020-12-15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5C49A3">
              <w:rPr>
                <w:rFonts w:ascii="Arial" w:hAnsi="Arial" w:cs="Arial"/>
                <w:sz w:val="18"/>
                <w:szCs w:val="18"/>
              </w:rPr>
              <w:t>Inprogress , ul. Balicka 95, 30-149 Kraków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 w:rsidSect="00E97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85" w:rsidRDefault="00E50B85">
      <w:r>
        <w:separator/>
      </w:r>
    </w:p>
  </w:endnote>
  <w:endnote w:type="continuationSeparator" w:id="0">
    <w:p w:rsidR="00E50B85" w:rsidRDefault="00E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A3" w:rsidRDefault="005C49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E77908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6423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7790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77908">
      <w:rPr>
        <w:rStyle w:val="Numerstrony"/>
        <w:rFonts w:ascii="Arial" w:hAnsi="Arial" w:cs="Arial"/>
        <w:noProof/>
        <w:sz w:val="18"/>
        <w:szCs w:val="18"/>
      </w:rPr>
      <w:t>6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A3" w:rsidRDefault="005C4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85" w:rsidRDefault="00E50B85">
      <w:r>
        <w:separator/>
      </w:r>
    </w:p>
  </w:footnote>
  <w:footnote w:type="continuationSeparator" w:id="0">
    <w:p w:rsidR="00E50B85" w:rsidRDefault="00E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A3" w:rsidRDefault="005C49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A3" w:rsidRDefault="005C49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A3" w:rsidRDefault="005C4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9E"/>
    <w:rsid w:val="00032EA3"/>
    <w:rsid w:val="000F2293"/>
    <w:rsid w:val="00140696"/>
    <w:rsid w:val="0021612D"/>
    <w:rsid w:val="00253031"/>
    <w:rsid w:val="002E09EA"/>
    <w:rsid w:val="0030729E"/>
    <w:rsid w:val="0032269F"/>
    <w:rsid w:val="00334D14"/>
    <w:rsid w:val="00377700"/>
    <w:rsid w:val="004412FD"/>
    <w:rsid w:val="004748DD"/>
    <w:rsid w:val="005B5EED"/>
    <w:rsid w:val="005C147E"/>
    <w:rsid w:val="005C4069"/>
    <w:rsid w:val="005C49A3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37EDC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0B85"/>
    <w:rsid w:val="00E51E1F"/>
    <w:rsid w:val="00E54A0B"/>
    <w:rsid w:val="00E77908"/>
    <w:rsid w:val="00E97251"/>
    <w:rsid w:val="00EB6535"/>
    <w:rsid w:val="00EC66D9"/>
    <w:rsid w:val="00EE416D"/>
    <w:rsid w:val="00F165A3"/>
    <w:rsid w:val="00F17524"/>
    <w:rsid w:val="00F22755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E5AA8-A9FC-4602-8356-79503A59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character" w:customStyle="1" w:styleId="Teksttreci2">
    <w:name w:val="Tekst treści (2)_"/>
    <w:link w:val="Teksttreci20"/>
    <w:rsid w:val="00E97251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7251"/>
    <w:pPr>
      <w:widowControl w:val="0"/>
      <w:shd w:val="clear" w:color="auto" w:fill="FFFFFF"/>
      <w:spacing w:before="540" w:after="300" w:line="0" w:lineRule="atLeast"/>
      <w:ind w:hanging="600"/>
      <w:jc w:val="right"/>
    </w:pPr>
  </w:style>
  <w:style w:type="paragraph" w:styleId="Tekstdymka">
    <w:name w:val="Balloon Text"/>
    <w:basedOn w:val="Normalny"/>
    <w:link w:val="TekstdymkaZnak"/>
    <w:rsid w:val="00E77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7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2021-01-08T12:18:00Z</cp:lastPrinted>
  <dcterms:created xsi:type="dcterms:W3CDTF">2021-01-08T12:19:00Z</dcterms:created>
  <dcterms:modified xsi:type="dcterms:W3CDTF">2021-01-08T12:19:00Z</dcterms:modified>
</cp:coreProperties>
</file>